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E02" w:rsidRPr="00E36E02" w:rsidTr="00E36E02">
        <w:trPr>
          <w:trHeight w:val="1693"/>
        </w:trPr>
        <w:tc>
          <w:tcPr>
            <w:tcW w:w="9062" w:type="dxa"/>
          </w:tcPr>
          <w:p w:rsidR="00E36E02" w:rsidRDefault="00D00463" w:rsidP="00E36E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N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3D14D4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151130</wp:posOffset>
                  </wp:positionV>
                  <wp:extent cx="878205" cy="87820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3003" w:rsidRDefault="00E36E02" w:rsidP="00B030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NZ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color w:val="000000"/>
                <w:kern w:val="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 wp14:anchorId="249CB533" wp14:editId="67C458C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-20955</wp:posOffset>
                  </wp:positionV>
                  <wp:extent cx="871855" cy="878205"/>
                  <wp:effectExtent l="0" t="0" r="444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36E02"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NZ"/>
              </w:rPr>
              <w:t>T.C. ULAŞTIRMA VE ALTYAPI BAKANLIĞI</w:t>
            </w:r>
          </w:p>
          <w:p w:rsidR="00E36E02" w:rsidRPr="00E36E02" w:rsidRDefault="00B03003" w:rsidP="00B030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NZ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NZ"/>
              </w:rPr>
              <w:t xml:space="preserve">Denizcilik Genel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NZ"/>
              </w:rPr>
              <w:t>Müdürlüğü</w:t>
            </w:r>
            <w:proofErr w:type="spellEnd"/>
          </w:p>
          <w:p w:rsidR="00223831" w:rsidRDefault="00E36E02" w:rsidP="00B030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NZ"/>
              </w:rPr>
            </w:pPr>
            <w:r w:rsidRPr="00E36E02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NZ"/>
              </w:rPr>
              <w:t>Republic of TÜRKİYE</w:t>
            </w:r>
          </w:p>
          <w:p w:rsidR="00E36E02" w:rsidRDefault="00E36E02" w:rsidP="00B030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NZ"/>
              </w:rPr>
            </w:pPr>
            <w:r w:rsidRPr="00E36E02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NZ"/>
              </w:rPr>
              <w:t>Ministry of Transport and Infrastructure</w:t>
            </w:r>
          </w:p>
          <w:p w:rsidR="00B03003" w:rsidRPr="00E36E02" w:rsidRDefault="00B03003" w:rsidP="00B030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NZ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val="en-NZ"/>
              </w:rPr>
              <w:t>Directorate General of Maritime Affairs</w:t>
            </w:r>
          </w:p>
          <w:p w:rsidR="00E36E02" w:rsidRPr="00E36E02" w:rsidRDefault="00E36E02" w:rsidP="00E36E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NZ"/>
              </w:rPr>
            </w:pPr>
          </w:p>
          <w:p w:rsidR="00E36E02" w:rsidRPr="00E36E02" w:rsidRDefault="00E36E02" w:rsidP="00E36E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NZ"/>
              </w:rPr>
            </w:pPr>
          </w:p>
        </w:tc>
      </w:tr>
    </w:tbl>
    <w:p w:rsidR="00E36E02" w:rsidRDefault="00E36E02" w:rsidP="00E36E0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</w:pPr>
      <w:r w:rsidRPr="00E36E02"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  <w:t xml:space="preserve"> </w:t>
      </w:r>
    </w:p>
    <w:p w:rsidR="00E36E02" w:rsidRDefault="00223831" w:rsidP="00E36E0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</w:pPr>
      <w:r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  <w:t>MLC SÖZLEŞMESİ ÜZERİNE</w:t>
      </w:r>
      <w:r w:rsidR="00E36E02" w:rsidRPr="00F54646"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  <w:t xml:space="preserve"> YOĞUNLAŞTIRILMIŞ DENETİM PROGRAMI</w:t>
      </w:r>
      <w:r w:rsidR="00E36E02" w:rsidRPr="00E36E02"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  <w:t xml:space="preserve"> </w:t>
      </w:r>
    </w:p>
    <w:p w:rsidR="00E36E02" w:rsidRDefault="00E36E02" w:rsidP="00E36E0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</w:pPr>
    </w:p>
    <w:p w:rsidR="00E36E02" w:rsidRDefault="00E36E02" w:rsidP="00E36E0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color w:val="000000"/>
          <w:kern w:val="0"/>
          <w:sz w:val="24"/>
          <w:szCs w:val="24"/>
          <w:lang w:val="en-NZ"/>
        </w:rPr>
      </w:pPr>
      <w:r w:rsidRPr="00E36E02"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  <w:t xml:space="preserve">  </w:t>
      </w:r>
      <w:r w:rsidRPr="00E36E02">
        <w:rPr>
          <w:rFonts w:ascii="Arial" w:eastAsia="MS Mincho" w:hAnsi="Arial" w:cs="Arial"/>
          <w:color w:val="000000"/>
          <w:kern w:val="0"/>
          <w:sz w:val="24"/>
          <w:szCs w:val="24"/>
          <w:lang w:val="en-NZ"/>
        </w:rPr>
        <w:t>CONCENTRATED INSPECTION CAMPAIGN ON MLC</w:t>
      </w:r>
    </w:p>
    <w:p w:rsidR="00305BCB" w:rsidRDefault="00305BCB" w:rsidP="00E36E0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color w:val="000000"/>
          <w:kern w:val="0"/>
          <w:sz w:val="24"/>
          <w:szCs w:val="24"/>
          <w:lang w:val="en-NZ"/>
        </w:rPr>
      </w:pPr>
    </w:p>
    <w:p w:rsidR="00305BCB" w:rsidRDefault="00305BCB" w:rsidP="00E36E0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color w:val="000000"/>
          <w:kern w:val="0"/>
          <w:sz w:val="24"/>
          <w:szCs w:val="24"/>
          <w:lang w:val="en-NZ"/>
        </w:rPr>
      </w:pPr>
      <w:r>
        <w:rPr>
          <w:rFonts w:ascii="Arial" w:eastAsia="MS Mincho" w:hAnsi="Arial" w:cs="Arial"/>
          <w:color w:val="000000"/>
          <w:kern w:val="0"/>
          <w:sz w:val="24"/>
          <w:szCs w:val="24"/>
          <w:lang w:val="en-NZ"/>
        </w:rPr>
        <w:t>(15.06.2024 – 30.11.2024)</w:t>
      </w:r>
    </w:p>
    <w:p w:rsidR="00E36E02" w:rsidRDefault="00E36E02" w:rsidP="00E36E0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</w:pPr>
      <w:r w:rsidRPr="00E36E02">
        <w:rPr>
          <w:rFonts w:ascii="Arial" w:eastAsia="MS Mincho" w:hAnsi="Arial" w:cs="Arial"/>
          <w:b/>
          <w:bCs/>
          <w:color w:val="000000"/>
          <w:kern w:val="0"/>
          <w:sz w:val="24"/>
          <w:szCs w:val="24"/>
          <w:lang w:val="en-NZ"/>
        </w:rPr>
        <w:t xml:space="preserve"> 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2258"/>
        <w:gridCol w:w="2263"/>
        <w:gridCol w:w="2259"/>
      </w:tblGrid>
      <w:tr w:rsidR="00E36E02" w:rsidTr="00E36E02">
        <w:trPr>
          <w:trHeight w:val="397"/>
        </w:trPr>
        <w:tc>
          <w:tcPr>
            <w:tcW w:w="2262" w:type="dxa"/>
            <w:vAlign w:val="center"/>
          </w:tcPr>
          <w:p w:rsidR="00E36E02" w:rsidRDefault="00E36E02" w:rsidP="008A1C67">
            <w:pPr>
              <w:rPr>
                <w:rFonts w:cstheme="minorHAnsi"/>
                <w:b/>
                <w:bCs/>
                <w:sz w:val="22"/>
              </w:rPr>
            </w:pPr>
            <w:bookmarkStart w:id="0" w:name="_Toc134688413"/>
            <w:bookmarkStart w:id="1" w:name="_Toc168484711"/>
            <w:r>
              <w:rPr>
                <w:rFonts w:cstheme="minorHAnsi"/>
                <w:b/>
                <w:bCs/>
                <w:sz w:val="22"/>
              </w:rPr>
              <w:t xml:space="preserve">Gemi </w:t>
            </w:r>
            <w:proofErr w:type="spellStart"/>
            <w:r>
              <w:rPr>
                <w:rFonts w:cstheme="minorHAnsi"/>
                <w:b/>
                <w:bCs/>
                <w:sz w:val="22"/>
              </w:rPr>
              <w:t>Adı</w:t>
            </w:r>
            <w:proofErr w:type="spellEnd"/>
          </w:p>
          <w:p w:rsidR="00E36E02" w:rsidRPr="00E36E02" w:rsidRDefault="00E36E02" w:rsidP="008A1C67">
            <w:pPr>
              <w:rPr>
                <w:i/>
                <w:iCs/>
              </w:rPr>
            </w:pPr>
            <w:r w:rsidRPr="00E36E02">
              <w:rPr>
                <w:rFonts w:cstheme="minorHAnsi"/>
                <w:i/>
                <w:iCs/>
                <w:sz w:val="22"/>
              </w:rPr>
              <w:t>Ship</w:t>
            </w:r>
            <w:r w:rsidR="00223831">
              <w:rPr>
                <w:rFonts w:cstheme="minorHAnsi"/>
                <w:i/>
                <w:iCs/>
                <w:sz w:val="22"/>
              </w:rPr>
              <w:t>’s</w:t>
            </w:r>
            <w:r w:rsidRPr="00E36E02">
              <w:rPr>
                <w:rFonts w:cstheme="minorHAnsi"/>
                <w:i/>
                <w:iCs/>
                <w:sz w:val="22"/>
              </w:rPr>
              <w:t xml:space="preserve"> Name</w:t>
            </w:r>
            <w:bookmarkEnd w:id="0"/>
            <w:bookmarkEnd w:id="1"/>
          </w:p>
        </w:tc>
        <w:tc>
          <w:tcPr>
            <w:tcW w:w="2258" w:type="dxa"/>
            <w:vAlign w:val="center"/>
          </w:tcPr>
          <w:p w:rsidR="00E36E02" w:rsidRDefault="00E36E02" w:rsidP="008A1C67"/>
        </w:tc>
        <w:tc>
          <w:tcPr>
            <w:tcW w:w="2263" w:type="dxa"/>
            <w:vAlign w:val="center"/>
          </w:tcPr>
          <w:p w:rsidR="00E36E02" w:rsidRPr="00E36E02" w:rsidRDefault="00E36E02" w:rsidP="008A1C67">
            <w:pPr>
              <w:rPr>
                <w:rFonts w:cstheme="minorHAnsi"/>
                <w:b/>
                <w:bCs/>
                <w:sz w:val="22"/>
              </w:rPr>
            </w:pPr>
            <w:bookmarkStart w:id="2" w:name="_Toc134688414"/>
            <w:bookmarkStart w:id="3" w:name="_Toc168484712"/>
            <w:r>
              <w:rPr>
                <w:rFonts w:cstheme="minorHAnsi"/>
                <w:b/>
                <w:bCs/>
                <w:sz w:val="22"/>
              </w:rPr>
              <w:t xml:space="preserve">IMO </w:t>
            </w:r>
            <w:proofErr w:type="spellStart"/>
            <w:r>
              <w:rPr>
                <w:rFonts w:cstheme="minorHAnsi"/>
                <w:b/>
                <w:bCs/>
                <w:sz w:val="22"/>
              </w:rPr>
              <w:t>Numarası</w:t>
            </w:r>
            <w:proofErr w:type="spellEnd"/>
          </w:p>
          <w:p w:rsidR="00E36E02" w:rsidRPr="00E36E02" w:rsidRDefault="00E36E02" w:rsidP="008A1C67">
            <w:pPr>
              <w:rPr>
                <w:i/>
                <w:iCs/>
              </w:rPr>
            </w:pPr>
            <w:r w:rsidRPr="00E36E02">
              <w:rPr>
                <w:rFonts w:cstheme="minorHAnsi"/>
                <w:i/>
                <w:iCs/>
                <w:sz w:val="22"/>
              </w:rPr>
              <w:t>IMO Number</w:t>
            </w:r>
            <w:bookmarkEnd w:id="2"/>
            <w:bookmarkEnd w:id="3"/>
          </w:p>
        </w:tc>
        <w:tc>
          <w:tcPr>
            <w:tcW w:w="2259" w:type="dxa"/>
          </w:tcPr>
          <w:p w:rsidR="00E36E02" w:rsidRDefault="00E36E02" w:rsidP="008A1C67"/>
        </w:tc>
      </w:tr>
      <w:tr w:rsidR="00E36E02" w:rsidTr="00E36E02">
        <w:trPr>
          <w:trHeight w:val="397"/>
        </w:trPr>
        <w:tc>
          <w:tcPr>
            <w:tcW w:w="2262" w:type="dxa"/>
            <w:vAlign w:val="center"/>
          </w:tcPr>
          <w:p w:rsidR="00E36E02" w:rsidRPr="00E36E02" w:rsidRDefault="00E36E02" w:rsidP="008A1C67">
            <w:pPr>
              <w:rPr>
                <w:rFonts w:cstheme="minorHAnsi"/>
                <w:b/>
                <w:bCs/>
                <w:sz w:val="22"/>
              </w:rPr>
            </w:pPr>
            <w:bookmarkStart w:id="4" w:name="_Toc134688415"/>
            <w:bookmarkStart w:id="5" w:name="_Toc168484713"/>
            <w:proofErr w:type="spellStart"/>
            <w:r>
              <w:rPr>
                <w:rFonts w:cstheme="minorHAnsi"/>
                <w:b/>
                <w:bCs/>
                <w:sz w:val="22"/>
              </w:rPr>
              <w:t>Denetim</w:t>
            </w:r>
            <w:proofErr w:type="spellEnd"/>
            <w:r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</w:rPr>
              <w:t>Tarihi</w:t>
            </w:r>
            <w:proofErr w:type="spellEnd"/>
          </w:p>
          <w:p w:rsidR="00E36E02" w:rsidRPr="00E36E02" w:rsidRDefault="00E36E02" w:rsidP="008A1C67">
            <w:pPr>
              <w:rPr>
                <w:i/>
                <w:iCs/>
              </w:rPr>
            </w:pPr>
            <w:r w:rsidRPr="00E36E02">
              <w:rPr>
                <w:rFonts w:cstheme="minorHAnsi"/>
                <w:i/>
                <w:iCs/>
                <w:sz w:val="22"/>
              </w:rPr>
              <w:t>Date of Inspection</w:t>
            </w:r>
            <w:bookmarkEnd w:id="4"/>
            <w:bookmarkEnd w:id="5"/>
          </w:p>
        </w:tc>
        <w:tc>
          <w:tcPr>
            <w:tcW w:w="2258" w:type="dxa"/>
            <w:vAlign w:val="center"/>
          </w:tcPr>
          <w:p w:rsidR="00E36E02" w:rsidRDefault="00E36E02" w:rsidP="008A1C67"/>
        </w:tc>
        <w:tc>
          <w:tcPr>
            <w:tcW w:w="2263" w:type="dxa"/>
            <w:vAlign w:val="center"/>
          </w:tcPr>
          <w:p w:rsidR="00E36E02" w:rsidRPr="00E36E02" w:rsidRDefault="00E36E02" w:rsidP="008A1C67">
            <w:pPr>
              <w:rPr>
                <w:rFonts w:cstheme="minorHAnsi"/>
                <w:b/>
                <w:bCs/>
                <w:sz w:val="22"/>
              </w:rPr>
            </w:pPr>
            <w:bookmarkStart w:id="6" w:name="_Toc134688416"/>
            <w:bookmarkStart w:id="7" w:name="_Toc168484714"/>
            <w:proofErr w:type="spellStart"/>
            <w:r w:rsidRPr="00E36E02">
              <w:rPr>
                <w:rFonts w:cstheme="minorHAnsi"/>
                <w:b/>
                <w:bCs/>
                <w:sz w:val="22"/>
              </w:rPr>
              <w:t>Denetim</w:t>
            </w:r>
            <w:proofErr w:type="spellEnd"/>
            <w:r w:rsidRPr="00E36E02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E36E02">
              <w:rPr>
                <w:rFonts w:cstheme="minorHAnsi"/>
                <w:b/>
                <w:bCs/>
                <w:sz w:val="22"/>
              </w:rPr>
              <w:t>Limanı</w:t>
            </w:r>
            <w:proofErr w:type="spellEnd"/>
          </w:p>
          <w:p w:rsidR="00E36E02" w:rsidRPr="00E36E02" w:rsidRDefault="00E36E02" w:rsidP="008A1C67">
            <w:pPr>
              <w:rPr>
                <w:i/>
                <w:iCs/>
              </w:rPr>
            </w:pPr>
            <w:r w:rsidRPr="00E36E02">
              <w:rPr>
                <w:rFonts w:cstheme="minorHAnsi"/>
                <w:i/>
                <w:iCs/>
                <w:sz w:val="22"/>
              </w:rPr>
              <w:t>Inspection Port</w:t>
            </w:r>
            <w:bookmarkEnd w:id="6"/>
            <w:bookmarkEnd w:id="7"/>
          </w:p>
        </w:tc>
        <w:tc>
          <w:tcPr>
            <w:tcW w:w="2259" w:type="dxa"/>
          </w:tcPr>
          <w:p w:rsidR="00E36E02" w:rsidRDefault="00E36E02" w:rsidP="008A1C67"/>
        </w:tc>
      </w:tr>
    </w:tbl>
    <w:p w:rsidR="00E36E02" w:rsidRDefault="00E36E02" w:rsidP="00E36E0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8"/>
        <w:gridCol w:w="5046"/>
        <w:gridCol w:w="700"/>
        <w:gridCol w:w="794"/>
        <w:gridCol w:w="701"/>
        <w:gridCol w:w="1056"/>
      </w:tblGrid>
      <w:tr w:rsidR="00E36E02" w:rsidRPr="00223AB2" w:rsidTr="008A1C67">
        <w:trPr>
          <w:trHeight w:val="397"/>
        </w:trPr>
        <w:tc>
          <w:tcPr>
            <w:tcW w:w="758" w:type="dxa"/>
            <w:vAlign w:val="center"/>
          </w:tcPr>
          <w:p w:rsidR="00E36E02" w:rsidRPr="00223AB2" w:rsidRDefault="00E36E02" w:rsidP="008A1C67">
            <w:pPr>
              <w:jc w:val="center"/>
              <w:rPr>
                <w:b/>
              </w:rPr>
            </w:pPr>
          </w:p>
        </w:tc>
        <w:tc>
          <w:tcPr>
            <w:tcW w:w="5046" w:type="dxa"/>
            <w:vAlign w:val="center"/>
          </w:tcPr>
          <w:p w:rsidR="00223831" w:rsidRDefault="00223831" w:rsidP="008A1C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SORULAR</w:t>
            </w:r>
          </w:p>
          <w:p w:rsidR="00E36E02" w:rsidRPr="00223AB2" w:rsidRDefault="00223831" w:rsidP="008A1C67">
            <w:pPr>
              <w:jc w:val="center"/>
              <w:rPr>
                <w:b/>
              </w:rPr>
            </w:pPr>
            <w:r w:rsidRPr="00223AB2">
              <w:rPr>
                <w:rFonts w:cstheme="minorHAnsi"/>
                <w:b/>
                <w:sz w:val="20"/>
                <w:szCs w:val="20"/>
              </w:rPr>
              <w:t>Q</w:t>
            </w:r>
            <w:r>
              <w:rPr>
                <w:rFonts w:cstheme="minorHAnsi"/>
                <w:b/>
                <w:sz w:val="20"/>
                <w:szCs w:val="20"/>
              </w:rPr>
              <w:t>UESTIONS</w:t>
            </w:r>
          </w:p>
        </w:tc>
        <w:tc>
          <w:tcPr>
            <w:tcW w:w="700" w:type="dxa"/>
            <w:vAlign w:val="center"/>
          </w:tcPr>
          <w:p w:rsidR="00223831" w:rsidRDefault="00223831" w:rsidP="008A1C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EVET</w:t>
            </w:r>
          </w:p>
          <w:p w:rsidR="00E36E02" w:rsidRPr="00223AB2" w:rsidRDefault="00223831" w:rsidP="008A1C67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94" w:type="dxa"/>
            <w:vAlign w:val="center"/>
          </w:tcPr>
          <w:p w:rsidR="00223831" w:rsidRDefault="00223831" w:rsidP="008A1C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HAYIR</w:t>
            </w:r>
          </w:p>
          <w:p w:rsidR="00E36E02" w:rsidRPr="00223AB2" w:rsidRDefault="00223831" w:rsidP="008A1C67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701" w:type="dxa"/>
            <w:vAlign w:val="center"/>
          </w:tcPr>
          <w:p w:rsidR="00223831" w:rsidRDefault="00223831" w:rsidP="008A1C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U/D</w:t>
            </w:r>
          </w:p>
          <w:p w:rsidR="00E36E02" w:rsidRPr="00223AB2" w:rsidRDefault="00E36E02" w:rsidP="008A1C67">
            <w:pPr>
              <w:jc w:val="center"/>
              <w:rPr>
                <w:b/>
              </w:rPr>
            </w:pPr>
            <w:r w:rsidRPr="00223AB2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054" w:type="dxa"/>
            <w:vAlign w:val="center"/>
          </w:tcPr>
          <w:p w:rsidR="00223831" w:rsidRDefault="00223831" w:rsidP="008A1C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TUTULMA</w:t>
            </w:r>
          </w:p>
          <w:p w:rsidR="00E36E02" w:rsidRPr="00223AB2" w:rsidRDefault="00E36E02" w:rsidP="008A1C67">
            <w:pPr>
              <w:jc w:val="center"/>
              <w:rPr>
                <w:b/>
              </w:rPr>
            </w:pPr>
            <w:r w:rsidRPr="00223AB2">
              <w:rPr>
                <w:rFonts w:cstheme="minorHAnsi"/>
                <w:b/>
                <w:sz w:val="20"/>
                <w:szCs w:val="20"/>
              </w:rPr>
              <w:t>Detention</w:t>
            </w:r>
          </w:p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CB298D" w:rsidRPr="00CB298D" w:rsidRDefault="00CB298D" w:rsidP="00CB298D">
            <w:pPr>
              <w:rPr>
                <w:b/>
                <w:bCs/>
              </w:rPr>
            </w:pPr>
            <w:r w:rsidRPr="00CB298D">
              <w:rPr>
                <w:b/>
                <w:bCs/>
              </w:rPr>
              <w:t xml:space="preserve">Gemi </w:t>
            </w:r>
            <w:proofErr w:type="spellStart"/>
            <w:r w:rsidR="00B301FD">
              <w:rPr>
                <w:b/>
                <w:bCs/>
              </w:rPr>
              <w:t>insanı</w:t>
            </w:r>
            <w:proofErr w:type="spellEnd"/>
            <w:r w:rsidR="00B301FD"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ve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donatan</w:t>
            </w:r>
            <w:proofErr w:type="spellEnd"/>
            <w:r w:rsidR="00223831">
              <w:rPr>
                <w:b/>
                <w:bCs/>
              </w:rPr>
              <w:t>/</w:t>
            </w:r>
            <w:proofErr w:type="spellStart"/>
            <w:r w:rsidR="00223831">
              <w:rPr>
                <w:b/>
                <w:bCs/>
              </w:rPr>
              <w:t>donatan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temsilcisi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tarafından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imzalanmış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iş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sözleşmesinin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bir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nüshası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="00B301FD">
              <w:rPr>
                <w:b/>
                <w:bCs/>
              </w:rPr>
              <w:t>gemi</w:t>
            </w:r>
            <w:proofErr w:type="spellEnd"/>
            <w:r w:rsidR="00B301FD">
              <w:rPr>
                <w:b/>
                <w:bCs/>
              </w:rPr>
              <w:t xml:space="preserve"> </w:t>
            </w:r>
            <w:proofErr w:type="spellStart"/>
            <w:r w:rsidR="00B301FD">
              <w:rPr>
                <w:b/>
                <w:bCs/>
              </w:rPr>
              <w:t>insanında</w:t>
            </w:r>
            <w:proofErr w:type="spellEnd"/>
            <w:r w:rsidR="00B301FD"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mevcut</w:t>
            </w:r>
            <w:proofErr w:type="spellEnd"/>
            <w:r w:rsidR="00B301FD">
              <w:rPr>
                <w:b/>
                <w:bCs/>
              </w:rPr>
              <w:t xml:space="preserve"> </w:t>
            </w:r>
            <w:r w:rsidRPr="00CB298D">
              <w:rPr>
                <w:b/>
                <w:bCs/>
              </w:rPr>
              <w:t>mu?</w:t>
            </w:r>
          </w:p>
          <w:p w:rsidR="00E36E02" w:rsidRDefault="00E36E02" w:rsidP="008A1C67">
            <w:pPr>
              <w:jc w:val="left"/>
            </w:pPr>
            <w:r>
              <w:t>Is the seafarer given</w:t>
            </w:r>
            <w:r w:rsidRPr="009A0899">
              <w:t xml:space="preserve"> a SEA signed by both the seafarer and the shipowner or a representative of the shipowner?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CB298D" w:rsidRPr="00CB298D" w:rsidRDefault="00223831" w:rsidP="008A1C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Gemi </w:t>
            </w:r>
            <w:proofErr w:type="spellStart"/>
            <w:r>
              <w:rPr>
                <w:b/>
                <w:bCs/>
              </w:rPr>
              <w:t>insanı</w:t>
            </w:r>
            <w:proofErr w:type="spellEnd"/>
            <w:r>
              <w:rPr>
                <w:b/>
                <w:bCs/>
              </w:rPr>
              <w:t>,</w:t>
            </w:r>
            <w:r w:rsidR="00E044A6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gemide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çalışma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koşulları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hakkında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bilgiye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2D45C8">
              <w:rPr>
                <w:b/>
                <w:bCs/>
              </w:rPr>
              <w:t>ulaşabiliyor</w:t>
            </w:r>
            <w:proofErr w:type="spellEnd"/>
            <w:r w:rsidR="002D45C8">
              <w:rPr>
                <w:b/>
                <w:bCs/>
              </w:rPr>
              <w:t xml:space="preserve"> mu?</w:t>
            </w:r>
          </w:p>
          <w:p w:rsidR="00E36E02" w:rsidRDefault="00E36E02" w:rsidP="008A1C67">
            <w:pPr>
              <w:jc w:val="left"/>
            </w:pPr>
            <w:r>
              <w:t>Is the seafarer able to access information regarding their employment conditions on board?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046" w:type="dxa"/>
          </w:tcPr>
          <w:p w:rsidR="00CB298D" w:rsidRPr="00CB298D" w:rsidRDefault="00B301FD" w:rsidP="00CB298D">
            <w:pPr>
              <w:rPr>
                <w:b/>
                <w:bCs/>
                <w:lang w:val="en-NZ"/>
              </w:rPr>
            </w:pPr>
            <w:r w:rsidRPr="00CB298D">
              <w:rPr>
                <w:b/>
                <w:bCs/>
                <w:lang w:val="en-NZ"/>
              </w:rPr>
              <w:t>Gemi</w:t>
            </w:r>
            <w:r>
              <w:rPr>
                <w:b/>
                <w:bCs/>
                <w:lang w:val="en-NZ"/>
              </w:rPr>
              <w:t xml:space="preserve"> </w:t>
            </w:r>
            <w:proofErr w:type="spellStart"/>
            <w:r>
              <w:rPr>
                <w:b/>
                <w:bCs/>
                <w:lang w:val="en-NZ"/>
              </w:rPr>
              <w:t>insanı</w:t>
            </w:r>
            <w:proofErr w:type="spellEnd"/>
            <w:r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iş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sözleşmelerinin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standart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formu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ve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2F2D32">
              <w:rPr>
                <w:b/>
                <w:bCs/>
                <w:lang w:val="en-NZ"/>
              </w:rPr>
              <w:t>Kural</w:t>
            </w:r>
            <w:proofErr w:type="spellEnd"/>
            <w:r w:rsidR="002F2D32">
              <w:rPr>
                <w:b/>
                <w:bCs/>
                <w:lang w:val="en-NZ"/>
              </w:rPr>
              <w:t xml:space="preserve"> </w:t>
            </w:r>
            <w:r w:rsidR="00CB298D" w:rsidRPr="00CB298D">
              <w:rPr>
                <w:b/>
                <w:bCs/>
                <w:lang w:val="en-NZ"/>
              </w:rPr>
              <w:t xml:space="preserve">5.2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uyarınca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liman </w:t>
            </w:r>
            <w:proofErr w:type="spellStart"/>
            <w:r w:rsidR="00F54646">
              <w:rPr>
                <w:b/>
                <w:bCs/>
                <w:lang w:val="en-NZ"/>
              </w:rPr>
              <w:t>D</w:t>
            </w:r>
            <w:r w:rsidR="00CB298D" w:rsidRPr="00CB298D">
              <w:rPr>
                <w:b/>
                <w:bCs/>
                <w:lang w:val="en-NZ"/>
              </w:rPr>
              <w:t>evleti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kontrolüne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tabi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olan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geçerli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toplu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iş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sözleşmelerinin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bazı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bölümleri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İngilizce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olarak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</w:t>
            </w:r>
            <w:proofErr w:type="spellStart"/>
            <w:r w:rsidR="00CB298D" w:rsidRPr="00CB298D">
              <w:rPr>
                <w:b/>
                <w:bCs/>
                <w:lang w:val="en-NZ"/>
              </w:rPr>
              <w:t>mevcut</w:t>
            </w:r>
            <w:proofErr w:type="spellEnd"/>
            <w:r w:rsidR="00CB298D" w:rsidRPr="00CB298D">
              <w:rPr>
                <w:b/>
                <w:bCs/>
                <w:lang w:val="en-NZ"/>
              </w:rPr>
              <w:t xml:space="preserve"> mu?</w:t>
            </w:r>
          </w:p>
          <w:p w:rsidR="00E36E02" w:rsidRDefault="00E36E02" w:rsidP="00CB298D">
            <w:r w:rsidRPr="007E4B12">
              <w:rPr>
                <w:lang w:val="en-NZ"/>
              </w:rPr>
              <w:t xml:space="preserve">Are standard form of seafarers’ employment agreements and parts of any applicable collective bargaining agreements </w:t>
            </w:r>
            <w:r w:rsidRPr="007E4B12">
              <w:t>subject to port State control under Reg.5.2,</w:t>
            </w:r>
            <w:r w:rsidRPr="007E4B12">
              <w:rPr>
                <w:lang w:val="en-NZ"/>
              </w:rPr>
              <w:t xml:space="preserve"> available in English</w:t>
            </w:r>
            <w:r w:rsidRPr="007E4B12">
              <w:t>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CB298D" w:rsidRPr="00CB298D" w:rsidRDefault="00CB298D" w:rsidP="00CB298D">
            <w:pPr>
              <w:rPr>
                <w:b/>
                <w:bCs/>
              </w:rPr>
            </w:pPr>
            <w:r w:rsidRPr="00CB298D">
              <w:rPr>
                <w:b/>
                <w:bCs/>
              </w:rPr>
              <w:t xml:space="preserve">Gemi </w:t>
            </w:r>
            <w:proofErr w:type="spellStart"/>
            <w:r w:rsidR="00B301FD">
              <w:rPr>
                <w:b/>
                <w:bCs/>
              </w:rPr>
              <w:t>insan</w:t>
            </w:r>
            <w:r w:rsidR="002F2D32">
              <w:rPr>
                <w:b/>
                <w:bCs/>
              </w:rPr>
              <w:t>ı</w:t>
            </w:r>
            <w:proofErr w:type="spellEnd"/>
            <w:r w:rsidR="00B301FD"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iş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Pr="00CB298D">
              <w:rPr>
                <w:b/>
                <w:bCs/>
              </w:rPr>
              <w:t>sözleşmesi</w:t>
            </w:r>
            <w:proofErr w:type="spellEnd"/>
            <w:r w:rsidRPr="00CB298D">
              <w:rPr>
                <w:b/>
                <w:bCs/>
              </w:rPr>
              <w:t xml:space="preserve"> MLC 2006'da </w:t>
            </w:r>
            <w:proofErr w:type="spellStart"/>
            <w:r w:rsidRPr="00CB298D">
              <w:rPr>
                <w:b/>
                <w:bCs/>
              </w:rPr>
              <w:t>belirtilen</w:t>
            </w:r>
            <w:proofErr w:type="spellEnd"/>
            <w:r w:rsidRPr="00CB298D">
              <w:rPr>
                <w:b/>
                <w:bCs/>
              </w:rPr>
              <w:t xml:space="preserve"> </w:t>
            </w:r>
            <w:proofErr w:type="spellStart"/>
            <w:r w:rsidR="00034658">
              <w:rPr>
                <w:b/>
                <w:bCs/>
              </w:rPr>
              <w:t>tüm</w:t>
            </w:r>
            <w:proofErr w:type="spellEnd"/>
            <w:r w:rsidR="0003465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B298D">
              <w:rPr>
                <w:b/>
                <w:bCs/>
              </w:rPr>
              <w:t>gerekl</w:t>
            </w:r>
            <w:r w:rsidR="00034658">
              <w:rPr>
                <w:b/>
                <w:bCs/>
              </w:rPr>
              <w:t>er</w:t>
            </w:r>
            <w:r w:rsidRPr="00CB298D">
              <w:rPr>
                <w:b/>
                <w:bCs/>
              </w:rPr>
              <w:t>i</w:t>
            </w:r>
            <w:proofErr w:type="spellEnd"/>
            <w:r w:rsidRPr="00CB298D">
              <w:rPr>
                <w:b/>
                <w:bCs/>
              </w:rPr>
              <w:t xml:space="preserve">  </w:t>
            </w:r>
            <w:proofErr w:type="spellStart"/>
            <w:r w:rsidRPr="00CB298D">
              <w:rPr>
                <w:b/>
                <w:bCs/>
              </w:rPr>
              <w:t>içeriyor</w:t>
            </w:r>
            <w:proofErr w:type="spellEnd"/>
            <w:proofErr w:type="gramEnd"/>
            <w:r w:rsidRPr="00CB298D">
              <w:rPr>
                <w:b/>
                <w:bCs/>
              </w:rPr>
              <w:t xml:space="preserve"> mu?</w:t>
            </w:r>
          </w:p>
          <w:p w:rsidR="00E36E02" w:rsidRDefault="00E36E02" w:rsidP="00CB298D">
            <w:r w:rsidRPr="0090799E">
              <w:t>Does the seafarers’ employment agreement include all the required elements specified in the MLC</w:t>
            </w:r>
            <w:r>
              <w:t>,</w:t>
            </w:r>
            <w:r w:rsidRPr="0090799E">
              <w:t xml:space="preserve"> 2006?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CB298D" w:rsidRPr="00CB298D" w:rsidRDefault="00B301FD" w:rsidP="00CB298D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 xml:space="preserve">Gemi </w:t>
            </w:r>
            <w:proofErr w:type="spellStart"/>
            <w:r>
              <w:rPr>
                <w:rFonts w:cstheme="minorHAnsi"/>
                <w:b/>
                <w:szCs w:val="21"/>
              </w:rPr>
              <w:t>insan</w:t>
            </w:r>
            <w:r w:rsidR="002F2D32">
              <w:rPr>
                <w:rFonts w:cstheme="minorHAnsi"/>
                <w:b/>
                <w:szCs w:val="21"/>
              </w:rPr>
              <w:t>ı</w:t>
            </w:r>
            <w:proofErr w:type="spellEnd"/>
            <w:r w:rsidRPr="00CB298D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CB298D">
              <w:rPr>
                <w:rFonts w:cstheme="minorHAnsi"/>
                <w:b/>
                <w:szCs w:val="21"/>
              </w:rPr>
              <w:t>iş</w:t>
            </w:r>
            <w:proofErr w:type="spellEnd"/>
            <w:r w:rsidR="00CB298D" w:rsidRPr="00CB298D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CB298D">
              <w:rPr>
                <w:rFonts w:cstheme="minorHAnsi"/>
                <w:b/>
                <w:szCs w:val="21"/>
              </w:rPr>
              <w:t>sözleşmesinde</w:t>
            </w:r>
            <w:proofErr w:type="spellEnd"/>
            <w:r w:rsidR="00CB298D" w:rsidRPr="00CB298D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CB298D">
              <w:rPr>
                <w:rFonts w:cstheme="minorHAnsi"/>
                <w:b/>
                <w:szCs w:val="21"/>
              </w:rPr>
              <w:t>yer</w:t>
            </w:r>
            <w:proofErr w:type="spellEnd"/>
            <w:r w:rsidR="00CB298D" w:rsidRPr="00CB298D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CB298D">
              <w:rPr>
                <w:rFonts w:cstheme="minorHAnsi"/>
                <w:b/>
                <w:szCs w:val="21"/>
              </w:rPr>
              <w:t>alan</w:t>
            </w:r>
            <w:proofErr w:type="spellEnd"/>
            <w:r w:rsidR="00CB298D" w:rsidRPr="00CB298D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9D7E78">
              <w:rPr>
                <w:rFonts w:cstheme="minorHAnsi"/>
                <w:b/>
                <w:szCs w:val="21"/>
              </w:rPr>
              <w:t>hususlar</w:t>
            </w:r>
            <w:proofErr w:type="spellEnd"/>
            <w:r w:rsidR="009D7E78" w:rsidRPr="00CB298D">
              <w:rPr>
                <w:rFonts w:cstheme="minorHAnsi"/>
                <w:b/>
                <w:szCs w:val="21"/>
              </w:rPr>
              <w:t xml:space="preserve"> </w:t>
            </w:r>
            <w:r w:rsidR="00CB298D" w:rsidRPr="00CB298D">
              <w:rPr>
                <w:rFonts w:cstheme="minorHAnsi"/>
                <w:b/>
                <w:szCs w:val="21"/>
              </w:rPr>
              <w:t xml:space="preserve">MLC 2006 </w:t>
            </w:r>
            <w:proofErr w:type="spellStart"/>
            <w:r w:rsidR="00CB298D" w:rsidRPr="00CB298D">
              <w:rPr>
                <w:rFonts w:cstheme="minorHAnsi"/>
                <w:b/>
                <w:szCs w:val="21"/>
              </w:rPr>
              <w:t>gerekliliklerine</w:t>
            </w:r>
            <w:proofErr w:type="spellEnd"/>
            <w:r w:rsidR="00CB298D" w:rsidRPr="00CB298D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CB298D">
              <w:rPr>
                <w:rFonts w:cstheme="minorHAnsi"/>
                <w:b/>
                <w:szCs w:val="21"/>
              </w:rPr>
              <w:t>uygun</w:t>
            </w:r>
            <w:proofErr w:type="spellEnd"/>
            <w:r w:rsidR="00CB298D" w:rsidRPr="00CB298D">
              <w:rPr>
                <w:rFonts w:cstheme="minorHAnsi"/>
                <w:b/>
                <w:szCs w:val="21"/>
              </w:rPr>
              <w:t xml:space="preserve"> mu?</w:t>
            </w:r>
          </w:p>
          <w:p w:rsidR="00E36E02" w:rsidRDefault="00E36E02" w:rsidP="00CB298D">
            <w:r w:rsidRPr="002319AD">
              <w:rPr>
                <w:rFonts w:cstheme="minorHAnsi"/>
                <w:bCs/>
                <w:szCs w:val="21"/>
              </w:rPr>
              <w:t xml:space="preserve">Do particulars included in the seafarers’ employment agreement comply with </w:t>
            </w:r>
            <w:r>
              <w:rPr>
                <w:rFonts w:cstheme="minorHAnsi"/>
                <w:bCs/>
                <w:szCs w:val="21"/>
              </w:rPr>
              <w:t xml:space="preserve">the </w:t>
            </w:r>
            <w:r w:rsidRPr="002319AD">
              <w:rPr>
                <w:rFonts w:cstheme="minorHAnsi"/>
                <w:bCs/>
                <w:szCs w:val="21"/>
              </w:rPr>
              <w:t>MLC, 2006 requirements?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CB298D" w:rsidRPr="00B03003" w:rsidRDefault="00B301FD" w:rsidP="00CB298D">
            <w:pPr>
              <w:rPr>
                <w:rFonts w:cstheme="minorHAnsi"/>
                <w:b/>
                <w:szCs w:val="21"/>
              </w:rPr>
            </w:pPr>
            <w:r w:rsidRPr="00B03003">
              <w:rPr>
                <w:rFonts w:cstheme="minorHAnsi"/>
                <w:b/>
                <w:szCs w:val="21"/>
              </w:rPr>
              <w:t xml:space="preserve">Gemi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insan</w:t>
            </w:r>
            <w:r w:rsidR="002F2D32" w:rsidRPr="00B03003">
              <w:rPr>
                <w:rFonts w:cstheme="minorHAnsi"/>
                <w:b/>
                <w:szCs w:val="21"/>
              </w:rPr>
              <w:t>ı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ücret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veya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maaş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ödemeleri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aylık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aralıkları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geçmeyecek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şekilde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CB298D" w:rsidRPr="00B03003">
              <w:rPr>
                <w:rFonts w:cstheme="minorHAnsi"/>
                <w:b/>
                <w:szCs w:val="21"/>
              </w:rPr>
              <w:t>yapılıyor</w:t>
            </w:r>
            <w:proofErr w:type="spellEnd"/>
            <w:r w:rsidR="00CB298D" w:rsidRPr="00B03003">
              <w:rPr>
                <w:rFonts w:cstheme="minorHAnsi"/>
                <w:b/>
                <w:szCs w:val="21"/>
              </w:rPr>
              <w:t xml:space="preserve"> mu?</w:t>
            </w:r>
          </w:p>
          <w:p w:rsidR="00CB298D" w:rsidRPr="00305BCB" w:rsidRDefault="00E36E02" w:rsidP="00CB298D">
            <w:pPr>
              <w:rPr>
                <w:rFonts w:cstheme="minorHAnsi"/>
                <w:bCs/>
                <w:sz w:val="20"/>
                <w:szCs w:val="20"/>
              </w:rPr>
            </w:pPr>
            <w:r w:rsidRPr="000B3DD5">
              <w:rPr>
                <w:rFonts w:cstheme="minorHAnsi"/>
                <w:bCs/>
                <w:sz w:val="20"/>
                <w:szCs w:val="20"/>
              </w:rPr>
              <w:t>Are wage or salary payments made to the seafarer</w:t>
            </w:r>
            <w:r w:rsidRPr="002319A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at no greater than monthly intervals</w:t>
            </w:r>
            <w:r w:rsidRPr="000B3DD5"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7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CB298D" w:rsidRPr="00B03003" w:rsidRDefault="00CB298D" w:rsidP="00CB298D">
            <w:pPr>
              <w:rPr>
                <w:rFonts w:cstheme="minorHAnsi"/>
                <w:b/>
                <w:szCs w:val="21"/>
              </w:rPr>
            </w:pPr>
            <w:proofErr w:type="spellStart"/>
            <w:r w:rsidRPr="00B03003">
              <w:rPr>
                <w:rFonts w:cstheme="minorHAnsi"/>
                <w:b/>
                <w:szCs w:val="21"/>
              </w:rPr>
              <w:t>Yapılan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maaş</w:t>
            </w:r>
            <w:proofErr w:type="spellEnd"/>
            <w:r w:rsidR="009D7E78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9D7E78" w:rsidRPr="00B03003">
              <w:rPr>
                <w:rFonts w:cstheme="minorHAnsi"/>
                <w:b/>
                <w:szCs w:val="21"/>
              </w:rPr>
              <w:t>ve</w:t>
            </w:r>
            <w:proofErr w:type="spellEnd"/>
            <w:r w:rsidR="009D7E78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ücret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ödemel</w:t>
            </w:r>
            <w:r w:rsidR="002F2D32" w:rsidRPr="00B03003">
              <w:rPr>
                <w:rFonts w:cstheme="minorHAnsi"/>
                <w:b/>
                <w:szCs w:val="21"/>
              </w:rPr>
              <w:t>e</w:t>
            </w:r>
            <w:r w:rsidRPr="00B03003">
              <w:rPr>
                <w:rFonts w:cstheme="minorHAnsi"/>
                <w:b/>
                <w:szCs w:val="21"/>
              </w:rPr>
              <w:t>rine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ilişkin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gemi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B301FD" w:rsidRPr="00B03003">
              <w:rPr>
                <w:rFonts w:cstheme="minorHAnsi"/>
                <w:b/>
                <w:szCs w:val="21"/>
              </w:rPr>
              <w:t>insanlarına</w:t>
            </w:r>
            <w:proofErr w:type="spellEnd"/>
            <w:r w:rsidR="00B301F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döküman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>/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dekont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veriliyor</w:t>
            </w:r>
            <w:proofErr w:type="spellEnd"/>
            <w:r w:rsidR="002F2D32" w:rsidRPr="00B03003">
              <w:rPr>
                <w:rFonts w:cstheme="minorHAnsi"/>
                <w:b/>
                <w:szCs w:val="21"/>
              </w:rPr>
              <w:t xml:space="preserve"> </w:t>
            </w:r>
            <w:r w:rsidRPr="00B03003">
              <w:rPr>
                <w:rFonts w:cstheme="minorHAnsi"/>
                <w:b/>
                <w:szCs w:val="21"/>
              </w:rPr>
              <w:t>mu?</w:t>
            </w:r>
          </w:p>
          <w:p w:rsidR="00E36E02" w:rsidRDefault="00E36E02" w:rsidP="00CB298D">
            <w:r w:rsidRPr="00417FFB">
              <w:rPr>
                <w:rFonts w:cstheme="minorHAnsi"/>
                <w:bCs/>
                <w:sz w:val="20"/>
                <w:szCs w:val="20"/>
              </w:rPr>
              <w:t>Have seafarers been given a status of accounts and wage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417FF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paid </w:t>
            </w:r>
            <w:r w:rsidRPr="00417FFB">
              <w:rPr>
                <w:rFonts w:cstheme="minorHAnsi"/>
                <w:bCs/>
                <w:sz w:val="20"/>
                <w:szCs w:val="20"/>
              </w:rPr>
              <w:t>on at least a monthly basis?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647F06" w:rsidRPr="00B03003" w:rsidRDefault="002F2D32" w:rsidP="008A1C67">
            <w:pPr>
              <w:jc w:val="left"/>
              <w:rPr>
                <w:szCs w:val="21"/>
              </w:rPr>
            </w:pPr>
            <w:proofErr w:type="spellStart"/>
            <w:r w:rsidRPr="00B03003">
              <w:rPr>
                <w:rFonts w:cstheme="minorHAnsi"/>
                <w:b/>
                <w:szCs w:val="21"/>
              </w:rPr>
              <w:t>Aylık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olarak</w:t>
            </w:r>
            <w:proofErr w:type="spellEnd"/>
            <w:r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y</w:t>
            </w:r>
            <w:r w:rsidR="00647F06" w:rsidRPr="00B03003">
              <w:rPr>
                <w:rFonts w:cstheme="minorHAnsi"/>
                <w:b/>
                <w:szCs w:val="21"/>
              </w:rPr>
              <w:t>apılan</w:t>
            </w:r>
            <w:proofErr w:type="spellEnd"/>
            <w:r w:rsidR="00647F06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647F06" w:rsidRPr="00B03003">
              <w:rPr>
                <w:rFonts w:cstheme="minorHAnsi"/>
                <w:b/>
                <w:szCs w:val="21"/>
              </w:rPr>
              <w:t>maaş</w:t>
            </w:r>
            <w:proofErr w:type="spellEnd"/>
            <w:r w:rsidR="009D7E78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9D7E78" w:rsidRPr="00B03003">
              <w:rPr>
                <w:rFonts w:cstheme="minorHAnsi"/>
                <w:b/>
                <w:szCs w:val="21"/>
              </w:rPr>
              <w:t>veya</w:t>
            </w:r>
            <w:proofErr w:type="spellEnd"/>
            <w:r w:rsidR="00305BCB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647F06" w:rsidRPr="00B03003">
              <w:rPr>
                <w:rFonts w:cstheme="minorHAnsi"/>
                <w:b/>
                <w:szCs w:val="21"/>
              </w:rPr>
              <w:t>ücret</w:t>
            </w:r>
            <w:proofErr w:type="spellEnd"/>
            <w:r w:rsidR="00647F06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B301FD" w:rsidRPr="00B03003">
              <w:rPr>
                <w:rFonts w:cstheme="minorHAnsi"/>
                <w:b/>
                <w:szCs w:val="21"/>
              </w:rPr>
              <w:t>ödemeleri</w:t>
            </w:r>
            <w:proofErr w:type="spellEnd"/>
            <w:r w:rsidR="00B301FD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647F06" w:rsidRPr="00B03003">
              <w:rPr>
                <w:rFonts w:cstheme="minorHAnsi"/>
                <w:b/>
                <w:szCs w:val="21"/>
              </w:rPr>
              <w:t>toplu</w:t>
            </w:r>
            <w:proofErr w:type="spellEnd"/>
            <w:r w:rsidR="00647F06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647F06" w:rsidRPr="00B03003">
              <w:rPr>
                <w:rFonts w:cstheme="minorHAnsi"/>
                <w:b/>
                <w:szCs w:val="21"/>
              </w:rPr>
              <w:t>sözleşme</w:t>
            </w:r>
            <w:proofErr w:type="spellEnd"/>
            <w:r w:rsidR="00647F06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Pr="00B03003">
              <w:rPr>
                <w:rFonts w:cstheme="minorHAnsi"/>
                <w:b/>
                <w:szCs w:val="21"/>
              </w:rPr>
              <w:t>veya</w:t>
            </w:r>
            <w:proofErr w:type="spellEnd"/>
            <w:r w:rsidR="00647F06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647F06" w:rsidRPr="00B03003">
              <w:rPr>
                <w:rFonts w:cstheme="minorHAnsi"/>
                <w:b/>
                <w:szCs w:val="21"/>
              </w:rPr>
              <w:t>iş</w:t>
            </w:r>
            <w:proofErr w:type="spellEnd"/>
            <w:r w:rsidR="00647F06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647F06" w:rsidRPr="00B03003">
              <w:rPr>
                <w:rFonts w:cstheme="minorHAnsi"/>
                <w:b/>
                <w:szCs w:val="21"/>
              </w:rPr>
              <w:t>sözleşmesine</w:t>
            </w:r>
            <w:proofErr w:type="spellEnd"/>
            <w:r w:rsidR="00647F06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647F06" w:rsidRPr="00B03003">
              <w:rPr>
                <w:rFonts w:cstheme="minorHAnsi"/>
                <w:b/>
                <w:szCs w:val="21"/>
              </w:rPr>
              <w:t>uygun</w:t>
            </w:r>
            <w:proofErr w:type="spellEnd"/>
            <w:r w:rsidR="00647F06" w:rsidRPr="00B03003">
              <w:rPr>
                <w:rFonts w:cstheme="minorHAnsi"/>
                <w:b/>
                <w:szCs w:val="21"/>
              </w:rPr>
              <w:t xml:space="preserve"> </w:t>
            </w:r>
            <w:proofErr w:type="spellStart"/>
            <w:r w:rsidR="00647F06" w:rsidRPr="00B03003">
              <w:rPr>
                <w:rFonts w:cstheme="minorHAnsi"/>
                <w:b/>
                <w:szCs w:val="21"/>
              </w:rPr>
              <w:t>yapılıyor</w:t>
            </w:r>
            <w:proofErr w:type="spellEnd"/>
            <w:r w:rsidR="00B301FD" w:rsidRPr="00B03003">
              <w:rPr>
                <w:rFonts w:cstheme="minorHAnsi"/>
                <w:b/>
                <w:szCs w:val="21"/>
              </w:rPr>
              <w:t xml:space="preserve"> </w:t>
            </w:r>
            <w:r w:rsidR="00647F06" w:rsidRPr="00B03003">
              <w:rPr>
                <w:rFonts w:cstheme="minorHAnsi"/>
                <w:b/>
                <w:szCs w:val="21"/>
              </w:rPr>
              <w:t>mu?</w:t>
            </w:r>
          </w:p>
          <w:p w:rsidR="00E36E02" w:rsidRDefault="00E36E02" w:rsidP="008A1C67">
            <w:pPr>
              <w:jc w:val="left"/>
            </w:pPr>
            <w:r w:rsidRPr="002140F3">
              <w:t>Are wage or salary payments in accordance with any applicable CBA or SEA?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647F06" w:rsidRPr="00647F06" w:rsidRDefault="00647F06" w:rsidP="008A1C67">
            <w:pPr>
              <w:jc w:val="left"/>
              <w:rPr>
                <w:b/>
                <w:bCs/>
                <w:lang w:val="en"/>
              </w:rPr>
            </w:pPr>
            <w:proofErr w:type="spellStart"/>
            <w:r w:rsidRPr="00647F06">
              <w:rPr>
                <w:b/>
                <w:bCs/>
                <w:lang w:val="en"/>
              </w:rPr>
              <w:t>Yapılan</w:t>
            </w:r>
            <w:proofErr w:type="spellEnd"/>
            <w:r w:rsidRPr="00647F06">
              <w:rPr>
                <w:b/>
                <w:bCs/>
                <w:lang w:val="en"/>
              </w:rPr>
              <w:t xml:space="preserve"> </w:t>
            </w:r>
            <w:proofErr w:type="spellStart"/>
            <w:r w:rsidRPr="00647F06">
              <w:rPr>
                <w:b/>
                <w:bCs/>
                <w:lang w:val="en"/>
              </w:rPr>
              <w:t>ödemelerde</w:t>
            </w:r>
            <w:proofErr w:type="spellEnd"/>
            <w:r w:rsidRPr="00647F06">
              <w:rPr>
                <w:b/>
                <w:bCs/>
                <w:lang w:val="en"/>
              </w:rPr>
              <w:t xml:space="preserve"> </w:t>
            </w:r>
            <w:proofErr w:type="spellStart"/>
            <w:r w:rsidRPr="00647F06">
              <w:rPr>
                <w:b/>
                <w:bCs/>
                <w:lang w:val="en"/>
              </w:rPr>
              <w:t>kesinti</w:t>
            </w:r>
            <w:proofErr w:type="spellEnd"/>
            <w:r w:rsidRPr="00647F06">
              <w:rPr>
                <w:b/>
                <w:bCs/>
                <w:lang w:val="en"/>
              </w:rPr>
              <w:t xml:space="preserve"> </w:t>
            </w:r>
            <w:proofErr w:type="spellStart"/>
            <w:r w:rsidRPr="00647F06">
              <w:rPr>
                <w:b/>
                <w:bCs/>
                <w:lang w:val="en"/>
              </w:rPr>
              <w:t>mevcutsa</w:t>
            </w:r>
            <w:proofErr w:type="spellEnd"/>
            <w:r w:rsidRPr="00647F06">
              <w:rPr>
                <w:b/>
                <w:bCs/>
                <w:lang w:val="en"/>
              </w:rPr>
              <w:t xml:space="preserve"> </w:t>
            </w:r>
            <w:proofErr w:type="spellStart"/>
            <w:r w:rsidRPr="00647F06">
              <w:rPr>
                <w:b/>
                <w:bCs/>
                <w:lang w:val="en"/>
              </w:rPr>
              <w:t>bu</w:t>
            </w:r>
            <w:proofErr w:type="spellEnd"/>
            <w:r w:rsidRPr="00647F06">
              <w:rPr>
                <w:b/>
                <w:bCs/>
                <w:lang w:val="en"/>
              </w:rPr>
              <w:t xml:space="preserve"> </w:t>
            </w:r>
            <w:proofErr w:type="spellStart"/>
            <w:r w:rsidRPr="00647F06">
              <w:rPr>
                <w:b/>
                <w:bCs/>
                <w:lang w:val="en"/>
              </w:rPr>
              <w:t>kesinti</w:t>
            </w:r>
            <w:proofErr w:type="spellEnd"/>
            <w:r w:rsidRPr="00647F06">
              <w:rPr>
                <w:b/>
                <w:bCs/>
                <w:lang w:val="en"/>
              </w:rPr>
              <w:t xml:space="preserve"> MLC 2006</w:t>
            </w:r>
            <w:r w:rsidR="009D7E78">
              <w:rPr>
                <w:b/>
                <w:bCs/>
                <w:lang w:val="en"/>
              </w:rPr>
              <w:t>’</w:t>
            </w:r>
            <w:r w:rsidRPr="00647F06">
              <w:rPr>
                <w:b/>
                <w:bCs/>
                <w:lang w:val="en"/>
              </w:rPr>
              <w:t xml:space="preserve"> </w:t>
            </w:r>
            <w:proofErr w:type="spellStart"/>
            <w:r w:rsidRPr="00647F06">
              <w:rPr>
                <w:b/>
                <w:bCs/>
                <w:lang w:val="en"/>
              </w:rPr>
              <w:t>ya</w:t>
            </w:r>
            <w:proofErr w:type="spellEnd"/>
            <w:r w:rsidRPr="00647F06">
              <w:rPr>
                <w:b/>
                <w:bCs/>
                <w:lang w:val="en"/>
              </w:rPr>
              <w:t xml:space="preserve"> </w:t>
            </w:r>
            <w:proofErr w:type="spellStart"/>
            <w:r w:rsidRPr="00647F06">
              <w:rPr>
                <w:b/>
                <w:bCs/>
                <w:lang w:val="en"/>
              </w:rPr>
              <w:t>uygun</w:t>
            </w:r>
            <w:proofErr w:type="spellEnd"/>
            <w:r w:rsidR="00B301FD">
              <w:rPr>
                <w:b/>
                <w:bCs/>
                <w:lang w:val="en"/>
              </w:rPr>
              <w:t xml:space="preserve"> </w:t>
            </w:r>
            <w:proofErr w:type="spellStart"/>
            <w:r w:rsidRPr="00647F06">
              <w:rPr>
                <w:b/>
                <w:bCs/>
                <w:lang w:val="en"/>
              </w:rPr>
              <w:t>yapılıyor</w:t>
            </w:r>
            <w:proofErr w:type="spellEnd"/>
            <w:r w:rsidR="003A08FA">
              <w:rPr>
                <w:b/>
                <w:bCs/>
                <w:lang w:val="en"/>
              </w:rPr>
              <w:t xml:space="preserve"> mu</w:t>
            </w:r>
            <w:r w:rsidRPr="00647F06">
              <w:rPr>
                <w:b/>
                <w:bCs/>
                <w:lang w:val="en"/>
              </w:rPr>
              <w:t>?</w:t>
            </w:r>
          </w:p>
          <w:p w:rsidR="00E36E02" w:rsidRDefault="00E36E02" w:rsidP="008A1C67">
            <w:pPr>
              <w:jc w:val="left"/>
            </w:pPr>
            <w:r w:rsidRPr="00311FC4">
              <w:rPr>
                <w:lang w:val="en"/>
              </w:rPr>
              <w:t xml:space="preserve">If payments made to a seafarer include deductions, are they </w:t>
            </w:r>
            <w:r>
              <w:rPr>
                <w:lang w:val="en"/>
              </w:rPr>
              <w:t>in accordance to the MLC, 2006</w:t>
            </w:r>
            <w:r w:rsidRPr="00311FC4">
              <w:rPr>
                <w:lang w:val="en"/>
              </w:rPr>
              <w:t>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10a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E36E02" w:rsidRDefault="00A5093A" w:rsidP="00647F06">
            <w:proofErr w:type="spellStart"/>
            <w:r w:rsidRPr="00A5093A">
              <w:rPr>
                <w:b/>
                <w:bCs/>
              </w:rPr>
              <w:t>Ölüm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ve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uzun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süreli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sakatlık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tazminatı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durumunda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="00322B5B">
              <w:rPr>
                <w:b/>
                <w:bCs/>
              </w:rPr>
              <w:t>mali</w:t>
            </w:r>
            <w:proofErr w:type="spellEnd"/>
            <w:r w:rsidR="00322B5B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güvence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sağlayıcısı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tarafından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düzenlenmiş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bir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sertifika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veya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belge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gemide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mevcut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5093A">
              <w:rPr>
                <w:b/>
                <w:bCs/>
              </w:rPr>
              <w:t>mu?</w:t>
            </w:r>
            <w:r w:rsidR="00E36E02" w:rsidRPr="00BE3599">
              <w:t>Is</w:t>
            </w:r>
            <w:proofErr w:type="spellEnd"/>
            <w:proofErr w:type="gramEnd"/>
            <w:r w:rsidR="00E36E02" w:rsidRPr="00BE3599">
              <w:t xml:space="preserve"> a certificate or documentary evidence of financial security, issued by the financial security provider, available on board i</w:t>
            </w:r>
            <w:r w:rsidR="00E36E02">
              <w:t>n the event of compensation for death and long-term disability?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  <w:tr w:rsidR="00E36E02" w:rsidTr="008A1C67">
        <w:tc>
          <w:tcPr>
            <w:tcW w:w="758" w:type="dxa"/>
          </w:tcPr>
          <w:p w:rsidR="00E36E02" w:rsidRDefault="00E36E02" w:rsidP="008A1C67">
            <w:pPr>
              <w:jc w:val="left"/>
            </w:pPr>
            <w:r>
              <w:rPr>
                <w:rFonts w:cstheme="minorHAnsi"/>
                <w:bCs/>
                <w:sz w:val="20"/>
                <w:szCs w:val="20"/>
              </w:rPr>
              <w:t>10b</w:t>
            </w:r>
            <w:r w:rsidR="00F54646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046" w:type="dxa"/>
          </w:tcPr>
          <w:p w:rsidR="00647F06" w:rsidRPr="00647F06" w:rsidRDefault="00A5093A" w:rsidP="00647F06">
            <w:pPr>
              <w:rPr>
                <w:b/>
                <w:bCs/>
              </w:rPr>
            </w:pPr>
            <w:r w:rsidRPr="00647F06">
              <w:rPr>
                <w:b/>
                <w:bCs/>
              </w:rPr>
              <w:t>Gemi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insanının</w:t>
            </w:r>
            <w:proofErr w:type="spellEnd"/>
            <w:r w:rsidRPr="00647F06">
              <w:rPr>
                <w:b/>
                <w:bCs/>
              </w:rPr>
              <w:t xml:space="preserve"> </w:t>
            </w:r>
            <w:proofErr w:type="spellStart"/>
            <w:r w:rsidRPr="00647F06">
              <w:rPr>
                <w:b/>
                <w:bCs/>
              </w:rPr>
              <w:t>ülkesine</w:t>
            </w:r>
            <w:proofErr w:type="spellEnd"/>
            <w:r w:rsidRPr="00647F06">
              <w:rPr>
                <w:b/>
                <w:bCs/>
              </w:rPr>
              <w:t xml:space="preserve"> </w:t>
            </w:r>
            <w:proofErr w:type="spellStart"/>
            <w:r w:rsidRPr="00647F06">
              <w:rPr>
                <w:b/>
                <w:bCs/>
              </w:rPr>
              <w:t>geri</w:t>
            </w:r>
            <w:proofErr w:type="spellEnd"/>
            <w:r w:rsidRPr="00647F06">
              <w:rPr>
                <w:b/>
                <w:bCs/>
              </w:rPr>
              <w:t xml:space="preserve"> </w:t>
            </w:r>
            <w:proofErr w:type="spellStart"/>
            <w:r w:rsidRPr="00647F06">
              <w:rPr>
                <w:b/>
                <w:bCs/>
              </w:rPr>
              <w:t>gönderilme</w:t>
            </w:r>
            <w:r>
              <w:rPr>
                <w:b/>
                <w:bCs/>
              </w:rPr>
              <w:t>si</w:t>
            </w:r>
            <w:proofErr w:type="spellEnd"/>
            <w:r w:rsidRPr="00647F06">
              <w:rPr>
                <w:b/>
                <w:bCs/>
              </w:rPr>
              <w:t xml:space="preserve"> </w:t>
            </w:r>
            <w:proofErr w:type="spellStart"/>
            <w:r w:rsidRPr="00647F06">
              <w:rPr>
                <w:b/>
                <w:bCs/>
              </w:rPr>
              <w:t>durumunda</w:t>
            </w:r>
            <w:proofErr w:type="spellEnd"/>
            <w:r w:rsidRPr="00647F06">
              <w:rPr>
                <w:b/>
                <w:bCs/>
              </w:rPr>
              <w:t xml:space="preserve">, </w:t>
            </w:r>
            <w:proofErr w:type="spellStart"/>
            <w:r w:rsidR="00322B5B">
              <w:rPr>
                <w:b/>
                <w:bCs/>
              </w:rPr>
              <w:t>mali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güvence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sağlayıcısı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tarafından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düzenlenmiş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bir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="00322B5B">
              <w:rPr>
                <w:b/>
                <w:bCs/>
              </w:rPr>
              <w:t>mali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güvence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sertifikası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veya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belgesi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gemide</w:t>
            </w:r>
            <w:proofErr w:type="spellEnd"/>
            <w:r w:rsidRPr="00A5093A">
              <w:rPr>
                <w:b/>
                <w:bCs/>
              </w:rPr>
              <w:t xml:space="preserve"> </w:t>
            </w:r>
            <w:proofErr w:type="spellStart"/>
            <w:r w:rsidRPr="00A5093A">
              <w:rPr>
                <w:b/>
                <w:bCs/>
              </w:rPr>
              <w:t>mevcut</w:t>
            </w:r>
            <w:proofErr w:type="spellEnd"/>
            <w:r w:rsidRPr="00A5093A">
              <w:rPr>
                <w:b/>
                <w:bCs/>
              </w:rPr>
              <w:t xml:space="preserve"> mu?</w:t>
            </w:r>
          </w:p>
          <w:p w:rsidR="00E36E02" w:rsidRDefault="00E36E02" w:rsidP="00647F06">
            <w:r w:rsidRPr="00BE3599">
              <w:t>Is a certificate or documentary evidence of financial security, issued by the financial security provider, available on board in the event of the repatriation?</w:t>
            </w:r>
          </w:p>
        </w:tc>
        <w:tc>
          <w:tcPr>
            <w:tcW w:w="700" w:type="dxa"/>
          </w:tcPr>
          <w:p w:rsidR="00E36E02" w:rsidRDefault="00E36E02" w:rsidP="008A1C67"/>
        </w:tc>
        <w:tc>
          <w:tcPr>
            <w:tcW w:w="794" w:type="dxa"/>
          </w:tcPr>
          <w:p w:rsidR="00E36E02" w:rsidRDefault="00E36E02" w:rsidP="008A1C67"/>
        </w:tc>
        <w:tc>
          <w:tcPr>
            <w:tcW w:w="701" w:type="dxa"/>
          </w:tcPr>
          <w:p w:rsidR="00E36E02" w:rsidRDefault="00E36E02" w:rsidP="008A1C67"/>
        </w:tc>
        <w:tc>
          <w:tcPr>
            <w:tcW w:w="1054" w:type="dxa"/>
          </w:tcPr>
          <w:p w:rsidR="00E36E02" w:rsidRDefault="00E36E02" w:rsidP="008A1C67"/>
        </w:tc>
      </w:tr>
    </w:tbl>
    <w:p w:rsidR="00305BCB" w:rsidRDefault="00305BCB" w:rsidP="00E36E02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eastAsia="MS Mincho" w:cs="Arial"/>
          <w:b/>
          <w:color w:val="000000"/>
          <w:kern w:val="0"/>
          <w:sz w:val="20"/>
          <w:szCs w:val="20"/>
          <w:lang w:val="en-NZ"/>
        </w:rPr>
      </w:pPr>
    </w:p>
    <w:p w:rsidR="00E36E02" w:rsidRPr="00305BCB" w:rsidRDefault="00FA2BE0" w:rsidP="00E36E02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eastAsia="MS Mincho" w:cs="Arial"/>
          <w:b/>
          <w:color w:val="000000"/>
          <w:kern w:val="0"/>
          <w:sz w:val="20"/>
          <w:szCs w:val="20"/>
          <w:lang w:val="en-NZ"/>
        </w:rPr>
      </w:pPr>
      <w:r>
        <w:rPr>
          <w:rFonts w:eastAsia="MS Mincho" w:cs="Arial"/>
          <w:b/>
          <w:color w:val="000000"/>
          <w:kern w:val="0"/>
          <w:sz w:val="20"/>
          <w:szCs w:val="20"/>
          <w:lang w:val="en-NZ"/>
        </w:rPr>
        <w:t>Not/</w:t>
      </w:r>
      <w:r w:rsidR="00E36E02" w:rsidRPr="00305BCB">
        <w:rPr>
          <w:rFonts w:eastAsia="MS Mincho" w:cs="Arial"/>
          <w:b/>
          <w:color w:val="000000"/>
          <w:kern w:val="0"/>
          <w:sz w:val="20"/>
          <w:szCs w:val="20"/>
          <w:lang w:val="en-NZ"/>
        </w:rPr>
        <w:t xml:space="preserve">Note: </w:t>
      </w:r>
    </w:p>
    <w:p w:rsidR="00647F06" w:rsidRDefault="00647F06" w:rsidP="00E36E02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eastAsia="MS Mincho" w:cs="Arial"/>
          <w:color w:val="000000"/>
          <w:kern w:val="0"/>
          <w:sz w:val="20"/>
          <w:szCs w:val="20"/>
          <w:lang w:val="en-NZ"/>
        </w:rPr>
      </w:pPr>
      <w:r>
        <w:rPr>
          <w:rFonts w:eastAsia="MS Mincho" w:cs="Arial"/>
          <w:color w:val="000000"/>
          <w:kern w:val="0"/>
          <w:sz w:val="20"/>
          <w:szCs w:val="20"/>
          <w:lang w:val="en-NZ"/>
        </w:rPr>
        <w:t xml:space="preserve">        </w:t>
      </w:r>
    </w:p>
    <w:p w:rsidR="00647F06" w:rsidRPr="0051107A" w:rsidRDefault="00F54646" w:rsidP="0051107A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</w:pPr>
      <w:r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* </w:t>
      </w:r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1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ile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10</w:t>
      </w:r>
      <w:r w:rsidR="003A08FA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b</w:t>
      </w:r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arasındaki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sorulara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HAYIR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olarak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cevap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verilmesi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halinde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bu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bir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eksiklik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kaydı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olarak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ön</w:t>
      </w:r>
      <w:proofErr w:type="spellEnd"/>
      <w:r w:rsidR="0051107A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sörvey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raporuna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girilmeli</w:t>
      </w:r>
      <w:r w:rsidR="0051107A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dir</w:t>
      </w:r>
      <w:proofErr w:type="spellEnd"/>
      <w:r w:rsidR="0051107A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.</w:t>
      </w:r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</w:p>
    <w:p w:rsidR="00647F06" w:rsidRDefault="00E36E02" w:rsidP="0051107A">
      <w:pPr>
        <w:widowControl/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MS Mincho" w:cs="Arial"/>
          <w:color w:val="000000"/>
          <w:kern w:val="0"/>
          <w:sz w:val="20"/>
          <w:szCs w:val="20"/>
          <w:lang w:val="en-NZ"/>
        </w:rPr>
      </w:pPr>
      <w:r w:rsidRPr="0051107A">
        <w:rPr>
          <w:rFonts w:eastAsia="MS Mincho" w:cs="Arial"/>
          <w:color w:val="000000"/>
          <w:kern w:val="0"/>
          <w:sz w:val="20"/>
          <w:szCs w:val="20"/>
          <w:lang w:val="en-NZ"/>
        </w:rPr>
        <w:t xml:space="preserve">Questions 1 to 10b answered with a “NO” MUST be accompanied by a relevant deficiency on the Report of Inspection. </w:t>
      </w:r>
    </w:p>
    <w:p w:rsidR="0051107A" w:rsidRPr="0051107A" w:rsidRDefault="0051107A" w:rsidP="0051107A">
      <w:pPr>
        <w:widowControl/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MS Mincho" w:cs="Arial"/>
          <w:color w:val="000000"/>
          <w:kern w:val="0"/>
          <w:sz w:val="20"/>
          <w:szCs w:val="20"/>
          <w:lang w:val="en-NZ"/>
        </w:rPr>
      </w:pPr>
    </w:p>
    <w:p w:rsidR="0051107A" w:rsidRDefault="00F54646" w:rsidP="0051107A">
      <w:pPr>
        <w:spacing w:after="0"/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</w:pPr>
      <w:r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* </w:t>
      </w:r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3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üncü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soru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hariç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diğer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sorulara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verilen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HAYIR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cevabı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geminin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tutulmasına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neden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 xml:space="preserve"> </w:t>
      </w:r>
      <w:proofErr w:type="spellStart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olabilir</w:t>
      </w:r>
      <w:proofErr w:type="spellEnd"/>
      <w:r w:rsidR="00647F06" w:rsidRPr="0051107A">
        <w:rPr>
          <w:rFonts w:eastAsia="MS Mincho" w:cs="Arial"/>
          <w:b/>
          <w:bCs/>
          <w:color w:val="000000"/>
          <w:kern w:val="0"/>
          <w:sz w:val="20"/>
          <w:szCs w:val="20"/>
          <w:lang w:val="en-NZ"/>
        </w:rPr>
        <w:t>.</w:t>
      </w:r>
    </w:p>
    <w:p w:rsidR="004B1B82" w:rsidRDefault="0051107A" w:rsidP="00E36E02">
      <w:pPr>
        <w:rPr>
          <w:rFonts w:eastAsia="MS Mincho" w:cs="Arial"/>
          <w:color w:val="000000"/>
          <w:kern w:val="0"/>
          <w:sz w:val="20"/>
          <w:szCs w:val="20"/>
          <w:lang w:val="en-NZ"/>
        </w:rPr>
      </w:pPr>
      <w:r>
        <w:rPr>
          <w:rFonts w:eastAsia="MS Mincho" w:cs="Arial"/>
          <w:color w:val="000000"/>
          <w:kern w:val="0"/>
          <w:sz w:val="20"/>
          <w:szCs w:val="20"/>
          <w:lang w:val="en-NZ"/>
        </w:rPr>
        <w:t>I</w:t>
      </w:r>
      <w:r w:rsidR="00E36E02" w:rsidRPr="00647F06">
        <w:rPr>
          <w:rFonts w:eastAsia="MS Mincho" w:cs="Arial"/>
          <w:color w:val="000000"/>
          <w:kern w:val="0"/>
          <w:sz w:val="20"/>
          <w:szCs w:val="20"/>
          <w:lang w:val="en-NZ"/>
        </w:rPr>
        <w:t>f the box “NO” is ticked off for questions marked with an “*”, the ship may be considered for detention.</w:t>
      </w:r>
    </w:p>
    <w:p w:rsidR="003D2386" w:rsidRDefault="003D2386" w:rsidP="00E36E02">
      <w:pPr>
        <w:rPr>
          <w:rFonts w:eastAsia="MS Mincho" w:cs="Arial"/>
          <w:color w:val="000000"/>
          <w:kern w:val="0"/>
          <w:sz w:val="20"/>
          <w:szCs w:val="20"/>
          <w:lang w:val="en-NZ"/>
        </w:rPr>
      </w:pPr>
    </w:p>
    <w:p w:rsidR="003D2386" w:rsidRDefault="003D2386" w:rsidP="00E36E02">
      <w:pPr>
        <w:rPr>
          <w:rFonts w:eastAsia="MS Mincho" w:cs="Arial"/>
          <w:color w:val="000000"/>
          <w:kern w:val="0"/>
          <w:sz w:val="20"/>
          <w:szCs w:val="20"/>
          <w:lang w:val="en-NZ"/>
        </w:rPr>
      </w:pPr>
    </w:p>
    <w:p w:rsidR="003D2386" w:rsidRDefault="003D2386" w:rsidP="00E36E02">
      <w:pPr>
        <w:rPr>
          <w:rFonts w:eastAsia="MS Mincho" w:cs="Arial"/>
          <w:color w:val="000000"/>
          <w:kern w:val="0"/>
          <w:sz w:val="20"/>
          <w:szCs w:val="20"/>
          <w:lang w:val="en-NZ"/>
        </w:rPr>
      </w:pPr>
    </w:p>
    <w:p w:rsidR="003D2386" w:rsidRDefault="003D2386" w:rsidP="00E36E02">
      <w:pPr>
        <w:rPr>
          <w:rFonts w:eastAsia="MS Mincho" w:cs="Arial"/>
          <w:color w:val="000000"/>
          <w:kern w:val="0"/>
          <w:sz w:val="20"/>
          <w:szCs w:val="20"/>
          <w:lang w:val="en-NZ"/>
        </w:rPr>
      </w:pPr>
    </w:p>
    <w:p w:rsidR="003D2386" w:rsidRDefault="003D2386" w:rsidP="00E36E02">
      <w:pPr>
        <w:rPr>
          <w:rFonts w:eastAsia="MS Mincho" w:cs="Arial"/>
          <w:color w:val="000000"/>
          <w:kern w:val="0"/>
          <w:sz w:val="20"/>
          <w:szCs w:val="20"/>
          <w:lang w:val="en-NZ"/>
        </w:rPr>
      </w:pPr>
    </w:p>
    <w:p w:rsidR="003D2386" w:rsidRPr="00647F06" w:rsidRDefault="003D2386" w:rsidP="00E36E02">
      <w:r w:rsidRPr="003D2386">
        <w:t xml:space="preserve">Gemi </w:t>
      </w:r>
      <w:proofErr w:type="spellStart"/>
      <w:r w:rsidRPr="003D2386">
        <w:t>Kaptanı</w:t>
      </w:r>
      <w:proofErr w:type="spellEnd"/>
      <w:r w:rsidRPr="003D2386">
        <w:t xml:space="preserve">              </w:t>
      </w:r>
      <w:r>
        <w:t xml:space="preserve">         </w:t>
      </w:r>
      <w:r w:rsidRPr="003D2386">
        <w:t xml:space="preserve"> </w:t>
      </w:r>
      <w:proofErr w:type="spellStart"/>
      <w:r w:rsidRPr="003D2386">
        <w:t>Denetim</w:t>
      </w:r>
      <w:proofErr w:type="spellEnd"/>
      <w:r w:rsidRPr="003D2386">
        <w:t xml:space="preserve"> </w:t>
      </w:r>
      <w:proofErr w:type="spellStart"/>
      <w:r w:rsidRPr="003D2386">
        <w:t>Uzmanı</w:t>
      </w:r>
      <w:proofErr w:type="spellEnd"/>
      <w:r w:rsidRPr="003D2386">
        <w:t xml:space="preserve">                                             </w:t>
      </w:r>
      <w:proofErr w:type="spellStart"/>
      <w:r w:rsidRPr="003D2386">
        <w:t>Denetim</w:t>
      </w:r>
      <w:proofErr w:type="spellEnd"/>
      <w:r w:rsidRPr="003D2386">
        <w:t xml:space="preserve"> </w:t>
      </w:r>
      <w:proofErr w:type="spellStart"/>
      <w:r w:rsidRPr="003D2386">
        <w:t>Uzmanı</w:t>
      </w:r>
      <w:proofErr w:type="spellEnd"/>
      <w:r w:rsidRPr="003D2386">
        <w:t xml:space="preserve">       </w:t>
      </w:r>
      <w:r>
        <w:t xml:space="preserve">                                                                      </w:t>
      </w:r>
      <w:r w:rsidRPr="003D2386">
        <w:t xml:space="preserve"> </w:t>
      </w:r>
      <w:r>
        <w:t xml:space="preserve"> </w:t>
      </w:r>
      <w:r w:rsidR="0051107A">
        <w:t xml:space="preserve">     </w:t>
      </w:r>
      <w:r w:rsidR="00A5093A">
        <w:t xml:space="preserve">    </w:t>
      </w:r>
      <w:r w:rsidR="00B03003">
        <w:t xml:space="preserve">             </w:t>
      </w:r>
      <w:bookmarkStart w:id="8" w:name="_GoBack"/>
      <w:bookmarkEnd w:id="8"/>
      <w:r w:rsidRPr="003D2386">
        <w:t xml:space="preserve">Master                                               </w:t>
      </w:r>
      <w:r>
        <w:t xml:space="preserve">  </w:t>
      </w:r>
      <w:r w:rsidRPr="003D2386">
        <w:t xml:space="preserve">FSCO/RO Surveyor               </w:t>
      </w:r>
      <w:r>
        <w:t xml:space="preserve">                                                     </w:t>
      </w:r>
      <w:r w:rsidRPr="003D2386">
        <w:t>FSCO/RO Surveyor</w:t>
      </w:r>
    </w:p>
    <w:sectPr w:rsidR="003D2386" w:rsidRPr="0064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52B2"/>
    <w:multiLevelType w:val="hybridMultilevel"/>
    <w:tmpl w:val="987EA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2B05"/>
    <w:multiLevelType w:val="hybridMultilevel"/>
    <w:tmpl w:val="4FDE5368"/>
    <w:lvl w:ilvl="0" w:tplc="4C5E1A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02"/>
    <w:rsid w:val="00034658"/>
    <w:rsid w:val="00153263"/>
    <w:rsid w:val="00223831"/>
    <w:rsid w:val="002D45C8"/>
    <w:rsid w:val="002F2D32"/>
    <w:rsid w:val="00305BCB"/>
    <w:rsid w:val="00322B5B"/>
    <w:rsid w:val="003A08FA"/>
    <w:rsid w:val="003D2386"/>
    <w:rsid w:val="004B1B82"/>
    <w:rsid w:val="0051107A"/>
    <w:rsid w:val="00613736"/>
    <w:rsid w:val="0062571F"/>
    <w:rsid w:val="00647F06"/>
    <w:rsid w:val="009D7E78"/>
    <w:rsid w:val="00A5093A"/>
    <w:rsid w:val="00B03003"/>
    <w:rsid w:val="00B301FD"/>
    <w:rsid w:val="00BF11CB"/>
    <w:rsid w:val="00CB298D"/>
    <w:rsid w:val="00D00463"/>
    <w:rsid w:val="00E044A6"/>
    <w:rsid w:val="00E36E02"/>
    <w:rsid w:val="00F54646"/>
    <w:rsid w:val="00F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68AE"/>
  <w15:chartTrackingRefBased/>
  <w15:docId w15:val="{BEFFC6A1-21FE-4F14-AE28-1A70DA9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E02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unhideWhenUsed/>
    <w:qFormat/>
    <w:rsid w:val="00E36E02"/>
    <w:pPr>
      <w:ind w:firstLineChars="200" w:firstLine="420"/>
    </w:pPr>
    <w:rPr>
      <w:szCs w:val="24"/>
    </w:rPr>
  </w:style>
  <w:style w:type="table" w:styleId="TabloKlavuzu">
    <w:name w:val="Table Grid"/>
    <w:basedOn w:val="NormalTablo"/>
    <w:uiPriority w:val="39"/>
    <w:rsid w:val="00E36E02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736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Korkmaz</dc:creator>
  <cp:keywords/>
  <dc:description/>
  <cp:lastModifiedBy>Mustafa Çankaya</cp:lastModifiedBy>
  <cp:revision>3</cp:revision>
  <dcterms:created xsi:type="dcterms:W3CDTF">2024-06-12T13:05:00Z</dcterms:created>
  <dcterms:modified xsi:type="dcterms:W3CDTF">2024-06-12T13:08:00Z</dcterms:modified>
</cp:coreProperties>
</file>