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1A06261D" w:rsidP="440DE830" w:rsidRDefault="1A06261D" w14:paraId="3A6D9DA7" w14:textId="7065D5F9">
      <w:pPr>
        <w:pStyle w:val="Balk1"/>
        <w:jc w:val="center"/>
        <w:rPr>
          <w:b w:val="1"/>
          <w:bCs w:val="1"/>
          <w:i w:val="1"/>
          <w:iCs w:val="1"/>
          <w:color w:val="BF4E14" w:themeColor="accent2" w:themeShade="BF"/>
          <w:sz w:val="40"/>
          <w:szCs w:val="40"/>
        </w:rPr>
      </w:pPr>
      <w:r w:rsidRPr="440DE830" w:rsidR="1A06261D">
        <w:rPr>
          <w:b w:val="1"/>
          <w:bCs w:val="1"/>
          <w:i w:val="1"/>
          <w:iCs w:val="1"/>
          <w:color w:val="BF4E14" w:themeColor="accent2" w:themeTint="FF" w:themeShade="BF"/>
          <w:sz w:val="40"/>
          <w:szCs w:val="40"/>
        </w:rPr>
        <w:t xml:space="preserve">5000GT ALTINDAKİ GEMİLER İÇİN </w:t>
      </w:r>
      <w:r>
        <w:br/>
      </w:r>
      <w:r w:rsidRPr="440DE830" w:rsidR="1A06261D">
        <w:rPr>
          <w:b w:val="1"/>
          <w:bCs w:val="1"/>
          <w:i w:val="1"/>
          <w:iCs w:val="1"/>
          <w:color w:val="77206D" w:themeColor="accent5" w:themeTint="FF" w:themeShade="BF"/>
          <w:sz w:val="40"/>
          <w:szCs w:val="40"/>
        </w:rPr>
        <w:t>EU MRV REHBERİ</w:t>
      </w:r>
      <w:r w:rsidRPr="440DE830" w:rsidR="6848BFCC">
        <w:rPr>
          <w:b w:val="1"/>
          <w:bCs w:val="1"/>
          <w:i w:val="1"/>
          <w:iCs w:val="1"/>
          <w:color w:val="77206D" w:themeColor="accent5" w:themeTint="FF" w:themeShade="BF"/>
          <w:sz w:val="40"/>
          <w:szCs w:val="40"/>
        </w:rPr>
        <w:t>-</w:t>
      </w:r>
      <w:r w:rsidRPr="440DE830" w:rsidR="48C132FF">
        <w:rPr>
          <w:b w:val="1"/>
          <w:bCs w:val="1"/>
          <w:i w:val="1"/>
          <w:iCs w:val="1"/>
          <w:color w:val="77206D" w:themeColor="accent5" w:themeTint="FF" w:themeShade="BF"/>
          <w:sz w:val="40"/>
          <w:szCs w:val="40"/>
        </w:rPr>
        <w:t>2</w:t>
      </w:r>
    </w:p>
    <w:p w:rsidR="33781B14" w:rsidRDefault="33781B14" w14:paraId="67B9465C" w14:textId="454BEFC2"/>
    <w:p w:rsidR="1D37BE6C" w:rsidP="440DE830" w:rsidRDefault="1D37BE6C" w14:paraId="4F8B1555" w14:textId="51610479">
      <w:pPr>
        <w:spacing w:after="120" w:line="240" w:lineRule="auto"/>
        <w:jc w:val="both"/>
      </w:pPr>
      <w:r w:rsidR="1D37BE6C">
        <w:rPr/>
        <w:t xml:space="preserve">5000 GT altında ancak 400 GT üzerinde olan genel kargo gemileri, küresel ölçekteki tüm gemilerin sera gazı emisyonlarında önemli bir paya sahiptir. İzleme, raporlama ve doğrulama sisteminin çevresel etkinliğini artırmak, adil rekabeti sağlamak ve kural ihlali riskini azaltmak için 5000 </w:t>
      </w:r>
      <w:r w:rsidR="6A638A4A">
        <w:rPr/>
        <w:t>GT</w:t>
      </w:r>
      <w:r w:rsidR="1D37BE6C">
        <w:rPr/>
        <w:t xml:space="preserve"> altında ancak 400 </w:t>
      </w:r>
      <w:r w:rsidR="744CD0DB">
        <w:rPr/>
        <w:t>GT</w:t>
      </w:r>
      <w:r w:rsidR="1D37BE6C">
        <w:rPr/>
        <w:t xml:space="preserve"> üzerinde olan genel kargo gemileri 2025 yılından itibaren (AB) 2015/757 sayılı </w:t>
      </w:r>
      <w:r w:rsidR="1D72E793">
        <w:rPr/>
        <w:t>Regülasyona</w:t>
      </w:r>
      <w:r w:rsidR="1D37BE6C">
        <w:rPr/>
        <w:t xml:space="preserve"> dahil edil</w:t>
      </w:r>
      <w:r w:rsidR="05EA872E">
        <w:rPr/>
        <w:t>ecektir</w:t>
      </w:r>
      <w:r w:rsidR="1D37BE6C">
        <w:rPr/>
        <w:t>.</w:t>
      </w:r>
    </w:p>
    <w:p w:rsidR="06067E05" w:rsidP="440DE830" w:rsidRDefault="06067E05" w14:paraId="529AC83C" w14:textId="26AC62D3">
      <w:pPr>
        <w:spacing w:after="120" w:line="240" w:lineRule="auto"/>
        <w:jc w:val="left"/>
        <w:rPr>
          <w:b w:val="1"/>
          <w:bCs w:val="1"/>
          <w:noProof w:val="0"/>
          <w:lang w:val="en-US"/>
        </w:rPr>
      </w:pPr>
      <w:r w:rsidR="06067E05">
        <w:rPr/>
        <w:t>(AB) 2015/757 sayılı Regülasyon (t</w:t>
      </w:r>
      <w:r w:rsidRPr="440DE830" w:rsidR="06067E05">
        <w:rPr>
          <w:noProof w:val="0"/>
          <w:lang w:val="en-US"/>
        </w:rPr>
        <w:t>he monitoring, reporting and verification of greenhouse gas emissions from maritime transport, and amending Directive 2009/16/EC</w:t>
      </w:r>
      <w:r w:rsidRPr="440DE830" w:rsidR="76CFE789">
        <w:rPr>
          <w:noProof w:val="0"/>
          <w:lang w:val="en-US"/>
        </w:rPr>
        <w:t>)</w:t>
      </w:r>
      <w:r w:rsidR="76CFE789">
        <w:rPr/>
        <w:t xml:space="preserve"> </w:t>
      </w:r>
      <w:r w:rsidRPr="440DE830" w:rsidR="76CFE789">
        <w:rPr>
          <w:b w:val="1"/>
          <w:bCs w:val="1"/>
        </w:rPr>
        <w:t xml:space="preserve">bu rehber içinde sadece </w:t>
      </w:r>
      <w:hyperlink r:id="R3bec3b69193b4756">
        <w:r w:rsidRPr="440DE830" w:rsidR="76CFE789">
          <w:rPr>
            <w:rStyle w:val="Kpr"/>
            <w:b w:val="1"/>
            <w:bCs w:val="1"/>
          </w:rPr>
          <w:t>‘’Regülasyon’’</w:t>
        </w:r>
      </w:hyperlink>
      <w:r w:rsidRPr="440DE830" w:rsidR="76CFE789">
        <w:rPr>
          <w:b w:val="1"/>
          <w:bCs w:val="1"/>
        </w:rPr>
        <w:t xml:space="preserve"> olarak ifade edilecektir.</w:t>
      </w:r>
    </w:p>
    <w:p w:rsidR="19F67D81" w:rsidP="440DE830" w:rsidRDefault="19F67D81" w14:paraId="398ADEB2" w14:textId="647FF43F">
      <w:pPr>
        <w:pStyle w:val="Balk2"/>
        <w:keepNext w:val="0"/>
        <w:keepLines w:val="0"/>
        <w:suppressLineNumbers w:val="0"/>
        <w:bidi w:val="0"/>
        <w:spacing w:before="0" w:beforeAutospacing="off" w:after="120" w:afterAutospacing="off" w:line="240" w:lineRule="auto"/>
        <w:ind w:left="0" w:right="0"/>
        <w:jc w:val="left"/>
        <w:rPr>
          <w:b w:val="1"/>
          <w:bCs w:val="1"/>
          <w:i w:val="1"/>
          <w:iCs w:val="1"/>
          <w:noProof w:val="0"/>
          <w:sz w:val="32"/>
          <w:szCs w:val="32"/>
          <w:lang w:val="tr-TR"/>
        </w:rPr>
      </w:pPr>
      <w:r w:rsidRPr="440DE830" w:rsidR="6A445BDD">
        <w:rPr>
          <w:rFonts w:ascii="Aptos Display" w:hAnsi="Aptos Display" w:eastAsia="" w:cs="" w:asciiTheme="majorAscii" w:hAnsiTheme="majorAscii" w:eastAsiaTheme="majorEastAsia" w:cstheme="majorBidi"/>
          <w:b w:val="1"/>
          <w:bCs w:val="1"/>
          <w:i w:val="1"/>
          <w:iCs w:val="1"/>
          <w:noProof w:val="0"/>
          <w:color w:val="0F4761" w:themeColor="accent1" w:themeTint="FF" w:themeShade="BF"/>
          <w:sz w:val="32"/>
          <w:szCs w:val="32"/>
          <w:lang w:val="tr-TR" w:eastAsia="en-US" w:bidi="ar-SA"/>
        </w:rPr>
        <w:t>Faaliyetlerin bir raporlama dönemi içinde izlenmesi</w:t>
      </w:r>
    </w:p>
    <w:p w:rsidR="33781B14" w:rsidP="440DE830" w:rsidRDefault="33781B14" w14:paraId="404FE681" w14:textId="190B122A">
      <w:pPr>
        <w:keepNext w:val="0"/>
        <w:keepLines w:val="0"/>
        <w:snapToGrid w:val="0"/>
        <w:spacing w:before="0" w:beforeAutospacing="off" w:after="120" w:afterAutospacing="off" w:line="240" w:lineRule="auto"/>
      </w:pPr>
      <w:r w:rsidRPr="440DE830" w:rsidR="6A445BDD">
        <w:rPr>
          <w:rFonts w:ascii="Aptos" w:hAnsi="Aptos" w:eastAsia="Aptos" w:cs="Aptos"/>
          <w:noProof w:val="0"/>
          <w:sz w:val="24"/>
          <w:szCs w:val="24"/>
          <w:lang w:val="tr-TR"/>
        </w:rPr>
        <w:t xml:space="preserve">1 Ocak 2018 tarihinden itibaren, şirketler, </w:t>
      </w:r>
      <w:r w:rsidRPr="440DE830" w:rsidR="0B417778">
        <w:rPr>
          <w:rFonts w:ascii="Aptos" w:hAnsi="Aptos" w:eastAsia="Aptos" w:cs="Aptos"/>
          <w:noProof w:val="0"/>
          <w:sz w:val="24"/>
          <w:szCs w:val="24"/>
          <w:lang w:val="tr-TR"/>
        </w:rPr>
        <w:t xml:space="preserve">Regülasyonun </w:t>
      </w:r>
      <w:r w:rsidRPr="440DE830" w:rsidR="6A445BDD">
        <w:rPr>
          <w:rFonts w:ascii="Aptos" w:hAnsi="Aptos" w:eastAsia="Aptos" w:cs="Aptos"/>
          <w:noProof w:val="0"/>
          <w:sz w:val="24"/>
          <w:szCs w:val="24"/>
          <w:lang w:val="tr-TR"/>
        </w:rPr>
        <w:t xml:space="preserve">13(1) Maddesi uyarınca değerlendirilen izleme planına dayanarak, her gemi için </w:t>
      </w:r>
      <w:r w:rsidRPr="440DE830" w:rsidR="6A445BDD">
        <w:rPr>
          <w:rFonts w:ascii="Aptos" w:hAnsi="Aptos" w:eastAsia="Aptos" w:cs="Aptos"/>
          <w:b w:val="1"/>
          <w:bCs w:val="1"/>
          <w:noProof w:val="0"/>
          <w:sz w:val="24"/>
          <w:szCs w:val="24"/>
          <w:lang w:val="tr-TR"/>
        </w:rPr>
        <w:t>her sefer ve yıllık bazda</w:t>
      </w:r>
      <w:r w:rsidRPr="440DE830" w:rsidR="6A445BDD">
        <w:rPr>
          <w:rFonts w:ascii="Aptos" w:hAnsi="Aptos" w:eastAsia="Aptos" w:cs="Aptos"/>
          <w:noProof w:val="0"/>
          <w:sz w:val="24"/>
          <w:szCs w:val="24"/>
          <w:lang w:val="tr-TR"/>
        </w:rPr>
        <w:t xml:space="preserve"> sera gazı emisyonlarını, </w:t>
      </w:r>
      <w:r w:rsidRPr="440DE830" w:rsidR="0939ED03">
        <w:rPr>
          <w:rFonts w:ascii="Aptos" w:hAnsi="Aptos" w:eastAsia="Aptos" w:cs="Aptos"/>
          <w:noProof w:val="0"/>
          <w:sz w:val="24"/>
          <w:szCs w:val="24"/>
          <w:lang w:val="tr-TR"/>
        </w:rPr>
        <w:t xml:space="preserve">yine Regülasyonun </w:t>
      </w:r>
      <w:r w:rsidRPr="440DE830" w:rsidR="6A445BDD">
        <w:rPr>
          <w:rFonts w:ascii="Aptos" w:hAnsi="Aptos" w:eastAsia="Aptos" w:cs="Aptos"/>
          <w:noProof w:val="0"/>
          <w:sz w:val="24"/>
          <w:szCs w:val="24"/>
          <w:lang w:val="tr-TR"/>
        </w:rPr>
        <w:t xml:space="preserve">Ek I Bölüm B'sinde belirtilen yöntemlerden uygun olanını uygulayarak ve sera gazı emisyonlarını Ek </w:t>
      </w:r>
      <w:r w:rsidRPr="440DE830" w:rsidR="6A445BDD">
        <w:rPr>
          <w:rFonts w:ascii="Aptos" w:hAnsi="Aptos" w:eastAsia="Aptos" w:cs="Aptos"/>
          <w:noProof w:val="0"/>
          <w:sz w:val="24"/>
          <w:szCs w:val="24"/>
          <w:lang w:val="tr-TR"/>
        </w:rPr>
        <w:t>I</w:t>
      </w:r>
      <w:r w:rsidRPr="440DE830" w:rsidR="6A445BDD">
        <w:rPr>
          <w:rFonts w:ascii="Aptos" w:hAnsi="Aptos" w:eastAsia="Aptos" w:cs="Aptos"/>
          <w:noProof w:val="0"/>
          <w:sz w:val="24"/>
          <w:szCs w:val="24"/>
          <w:lang w:val="tr-TR"/>
        </w:rPr>
        <w:t>'in</w:t>
      </w:r>
      <w:r w:rsidRPr="440DE830" w:rsidR="6A445BDD">
        <w:rPr>
          <w:rFonts w:ascii="Aptos" w:hAnsi="Aptos" w:eastAsia="Aptos" w:cs="Aptos"/>
          <w:noProof w:val="0"/>
          <w:sz w:val="24"/>
          <w:szCs w:val="24"/>
          <w:lang w:val="tr-TR"/>
        </w:rPr>
        <w:t xml:space="preserve"> </w:t>
      </w:r>
      <w:r w:rsidRPr="440DE830" w:rsidR="6A445BDD">
        <w:rPr>
          <w:rFonts w:ascii="Aptos" w:hAnsi="Aptos" w:eastAsia="Aptos" w:cs="Aptos"/>
          <w:noProof w:val="0"/>
          <w:sz w:val="24"/>
          <w:szCs w:val="24"/>
          <w:lang w:val="tr-TR"/>
        </w:rPr>
        <w:t>Bölüm A'sına uygun olarak hesaplayarak izleyecektir.</w:t>
      </w:r>
    </w:p>
    <w:p w:rsidR="53A4ADC0" w:rsidP="440DE830" w:rsidRDefault="53A4ADC0" w14:paraId="431FCCAD" w14:textId="5BF99E82">
      <w:pPr>
        <w:pStyle w:val="Heading3"/>
        <w:keepNext w:val="0"/>
        <w:keepLines w:val="0"/>
        <w:spacing w:before="0" w:beforeAutospacing="off" w:after="120" w:afterAutospacing="off" w:line="240" w:lineRule="auto"/>
        <w:rPr>
          <w:i w:val="1"/>
          <w:iCs w:val="1"/>
          <w:noProof w:val="0"/>
          <w:color w:val="A02B93" w:themeColor="accent5" w:themeTint="FF" w:themeShade="FF"/>
          <w:lang w:val="tr-TR"/>
        </w:rPr>
      </w:pPr>
      <w:r w:rsidRPr="440DE830" w:rsidR="53A4ADC0">
        <w:rPr>
          <w:i w:val="1"/>
          <w:iCs w:val="1"/>
          <w:noProof w:val="0"/>
          <w:color w:val="A02B93" w:themeColor="accent5" w:themeTint="FF" w:themeShade="FF"/>
          <w:lang w:val="tr-TR"/>
        </w:rPr>
        <w:t xml:space="preserve">Sefer Bazında İzleme </w:t>
      </w:r>
      <w:r w:rsidRPr="440DE830" w:rsidR="2C2C8D71">
        <w:rPr>
          <w:i w:val="1"/>
          <w:iCs w:val="1"/>
          <w:noProof w:val="0"/>
          <w:color w:val="A02B93" w:themeColor="accent5" w:themeTint="FF" w:themeShade="FF"/>
          <w:lang w:val="tr-TR"/>
        </w:rPr>
        <w:t>(</w:t>
      </w:r>
      <w:r w:rsidRPr="440DE830" w:rsidR="2C2C8D71">
        <w:rPr>
          <w:i w:val="1"/>
          <w:iCs w:val="1"/>
          <w:noProof w:val="0"/>
          <w:color w:val="A02B93" w:themeColor="accent5" w:themeTint="FF" w:themeShade="FF"/>
          <w:lang w:val="en-US"/>
        </w:rPr>
        <w:t>Monitoring</w:t>
      </w:r>
      <w:r w:rsidRPr="440DE830" w:rsidR="2C2C8D71">
        <w:rPr>
          <w:i w:val="1"/>
          <w:iCs w:val="1"/>
          <w:noProof w:val="0"/>
          <w:color w:val="A02B93" w:themeColor="accent5" w:themeTint="FF" w:themeShade="FF"/>
          <w:lang w:val="en-US"/>
        </w:rPr>
        <w:t xml:space="preserve"> on a </w:t>
      </w:r>
      <w:r w:rsidRPr="440DE830" w:rsidR="2C2C8D71">
        <w:rPr>
          <w:i w:val="1"/>
          <w:iCs w:val="1"/>
          <w:noProof w:val="0"/>
          <w:color w:val="A02B93" w:themeColor="accent5" w:themeTint="FF" w:themeShade="FF"/>
          <w:lang w:val="en-US"/>
        </w:rPr>
        <w:t>per-voyage</w:t>
      </w:r>
      <w:r w:rsidRPr="440DE830" w:rsidR="2C2C8D71">
        <w:rPr>
          <w:i w:val="1"/>
          <w:iCs w:val="1"/>
          <w:noProof w:val="0"/>
          <w:color w:val="A02B93" w:themeColor="accent5" w:themeTint="FF" w:themeShade="FF"/>
          <w:lang w:val="en-US"/>
        </w:rPr>
        <w:t xml:space="preserve"> </w:t>
      </w:r>
      <w:r w:rsidRPr="440DE830" w:rsidR="2C2C8D71">
        <w:rPr>
          <w:i w:val="1"/>
          <w:iCs w:val="1"/>
          <w:noProof w:val="0"/>
          <w:color w:val="A02B93" w:themeColor="accent5" w:themeTint="FF" w:themeShade="FF"/>
          <w:lang w:val="en-US"/>
        </w:rPr>
        <w:t>basis</w:t>
      </w:r>
      <w:r w:rsidRPr="440DE830" w:rsidR="2C2C8D71">
        <w:rPr>
          <w:i w:val="1"/>
          <w:iCs w:val="1"/>
          <w:noProof w:val="0"/>
          <w:color w:val="A02B93" w:themeColor="accent5" w:themeTint="FF" w:themeShade="FF"/>
          <w:lang w:val="tr-TR"/>
        </w:rPr>
        <w:t>)</w:t>
      </w:r>
    </w:p>
    <w:p w:rsidR="430B4E53" w:rsidP="440DE830" w:rsidRDefault="430B4E53" w14:paraId="7D33523E" w14:textId="25DDFD2E">
      <w:pPr>
        <w:keepNext w:val="0"/>
        <w:keepLines w:val="0"/>
        <w:spacing w:before="0" w:beforeAutospacing="off" w:after="120" w:afterAutospacing="off" w:line="240" w:lineRule="auto"/>
        <w:rPr>
          <w:rFonts w:ascii="Aptos" w:hAnsi="Aptos" w:eastAsia="Aptos" w:cs="Aptos"/>
          <w:noProof w:val="0"/>
          <w:sz w:val="24"/>
          <w:szCs w:val="24"/>
          <w:lang w:val="tr-TR"/>
        </w:rPr>
      </w:pPr>
      <w:r w:rsidRPr="440DE830" w:rsidR="430B4E53">
        <w:rPr>
          <w:rFonts w:ascii="Aptos" w:hAnsi="Aptos" w:eastAsia="Aptos" w:cs="Aptos"/>
          <w:noProof w:val="0"/>
          <w:sz w:val="24"/>
          <w:szCs w:val="24"/>
          <w:lang w:val="tr-TR"/>
        </w:rPr>
        <w:t xml:space="preserve">1. </w:t>
      </w:r>
      <w:r w:rsidRPr="440DE830" w:rsidR="642EF31A">
        <w:rPr>
          <w:rFonts w:ascii="Aptos" w:hAnsi="Aptos" w:eastAsia="Aptos" w:cs="Aptos"/>
          <w:noProof w:val="0"/>
          <w:sz w:val="24"/>
          <w:szCs w:val="24"/>
          <w:lang w:val="tr-TR"/>
        </w:rPr>
        <w:t>Regülasyonun 1</w:t>
      </w:r>
      <w:r w:rsidRPr="440DE830" w:rsidR="430B4E53">
        <w:rPr>
          <w:rFonts w:ascii="Aptos" w:hAnsi="Aptos" w:eastAsia="Aptos" w:cs="Aptos"/>
          <w:noProof w:val="0"/>
          <w:sz w:val="24"/>
          <w:szCs w:val="24"/>
          <w:lang w:val="tr-TR"/>
        </w:rPr>
        <w:t xml:space="preserve">3(1) Maddesi uyarınca değerlendirilen izleme planına dayanarak, bir Üye Devletin yetki alanındaki bir limana gelen veya bu limandan ayrılan ve bir limana doğru veya bu limandan yapılan her sefer için, şirketler </w:t>
      </w:r>
      <w:r w:rsidRPr="440DE830" w:rsidR="417CFF2D">
        <w:rPr>
          <w:rFonts w:ascii="Aptos" w:hAnsi="Aptos" w:eastAsia="Aptos" w:cs="Aptos"/>
          <w:noProof w:val="0"/>
          <w:sz w:val="24"/>
          <w:szCs w:val="24"/>
          <w:lang w:val="tr-TR"/>
        </w:rPr>
        <w:t xml:space="preserve">Regülasyonun </w:t>
      </w:r>
      <w:r w:rsidRPr="440DE830" w:rsidR="430B4E53">
        <w:rPr>
          <w:rFonts w:ascii="Aptos" w:hAnsi="Aptos" w:eastAsia="Aptos" w:cs="Aptos"/>
          <w:noProof w:val="0"/>
          <w:sz w:val="24"/>
          <w:szCs w:val="24"/>
          <w:lang w:val="tr-TR"/>
        </w:rPr>
        <w:t xml:space="preserve">Ek </w:t>
      </w:r>
      <w:r w:rsidRPr="440DE830" w:rsidR="430B4E53">
        <w:rPr>
          <w:rFonts w:ascii="Aptos" w:hAnsi="Aptos" w:eastAsia="Aptos" w:cs="Aptos"/>
          <w:noProof w:val="0"/>
          <w:sz w:val="24"/>
          <w:szCs w:val="24"/>
          <w:lang w:val="tr-TR"/>
        </w:rPr>
        <w:t xml:space="preserve">I Bölüm A'sı ve Ek </w:t>
      </w:r>
      <w:r w:rsidRPr="440DE830" w:rsidR="430B4E53">
        <w:rPr>
          <w:rFonts w:ascii="Aptos" w:hAnsi="Aptos" w:eastAsia="Aptos" w:cs="Aptos"/>
          <w:noProof w:val="0"/>
          <w:sz w:val="24"/>
          <w:szCs w:val="24"/>
          <w:lang w:val="tr-TR"/>
        </w:rPr>
        <w:t>II'nin</w:t>
      </w:r>
      <w:r w:rsidRPr="440DE830" w:rsidR="430B4E53">
        <w:rPr>
          <w:rFonts w:ascii="Aptos" w:hAnsi="Aptos" w:eastAsia="Aptos" w:cs="Aptos"/>
          <w:noProof w:val="0"/>
          <w:sz w:val="24"/>
          <w:szCs w:val="24"/>
          <w:lang w:val="tr-TR"/>
        </w:rPr>
        <w:t xml:space="preserve"> Bölüm A'sı uyarınca aşağıdaki parametreleri izleyecektir: </w:t>
      </w:r>
    </w:p>
    <w:p w:rsidR="430B4E53" w:rsidP="440DE830" w:rsidRDefault="430B4E53" w14:paraId="6492250A" w14:textId="4E5538B5">
      <w:pPr>
        <w:keepNext w:val="0"/>
        <w:keepLines w:val="0"/>
        <w:spacing w:before="0" w:beforeAutospacing="off" w:after="120" w:afterAutospacing="off" w:line="240" w:lineRule="auto"/>
        <w:rPr>
          <w:rFonts w:ascii="Aptos" w:hAnsi="Aptos" w:eastAsia="Aptos" w:cs="Aptos"/>
          <w:noProof w:val="0"/>
          <w:sz w:val="24"/>
          <w:szCs w:val="24"/>
          <w:lang w:val="tr-TR"/>
        </w:rPr>
      </w:pPr>
      <w:r w:rsidRPr="440DE830" w:rsidR="430B4E53">
        <w:rPr>
          <w:rFonts w:ascii="Aptos" w:hAnsi="Aptos" w:eastAsia="Aptos" w:cs="Aptos"/>
          <w:noProof w:val="0"/>
          <w:sz w:val="24"/>
          <w:szCs w:val="24"/>
          <w:lang w:val="tr-TR"/>
        </w:rPr>
        <w:t>(a) kalkış ve varış limanı, kalkış ve varış tarihi ve saati dahil;</w:t>
      </w:r>
    </w:p>
    <w:p w:rsidR="430B4E53" w:rsidP="440DE830" w:rsidRDefault="430B4E53" w14:paraId="138969CC" w14:textId="72C6A273">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(b) tüketilen her yakıt türü için miktar ve emisyon faktörü;</w:t>
      </w:r>
    </w:p>
    <w:p w:rsidR="430B4E53" w:rsidP="440DE830" w:rsidRDefault="430B4E53" w14:paraId="5260A965" w14:textId="159D4DEC">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(c) salınan sera gazı emisyonu;</w:t>
      </w:r>
    </w:p>
    <w:p w:rsidR="430B4E53" w:rsidP="440DE830" w:rsidRDefault="430B4E53" w14:paraId="238F0908" w14:textId="231030EF">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(d) kat edilen mesafe;</w:t>
      </w:r>
    </w:p>
    <w:p w:rsidR="430B4E53" w:rsidP="440DE830" w:rsidRDefault="430B4E53" w14:paraId="0E2E39CE" w14:textId="55288D9B">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(e) denizde geçirilen süre;</w:t>
      </w:r>
    </w:p>
    <w:p w:rsidR="430B4E53" w:rsidP="440DE830" w:rsidRDefault="430B4E53" w14:paraId="68D08AEA" w14:textId="73FAABA6">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(f) taşınan yük;</w:t>
      </w:r>
    </w:p>
    <w:p w:rsidR="430B4E53" w:rsidP="440DE830" w:rsidRDefault="430B4E53" w14:paraId="2DF7C965" w14:textId="279B0AF2">
      <w:pPr>
        <w:pStyle w:val="Normal"/>
        <w:keepNext w:val="0"/>
        <w:keepLines w:val="0"/>
        <w:spacing w:before="0" w:beforeAutospacing="off" w:after="120" w:afterAutospacing="off" w:line="240" w:lineRule="auto"/>
        <w:rPr>
          <w:rFonts w:ascii="Aptos" w:hAnsi="Aptos" w:eastAsia="Aptos" w:cs="Aptos"/>
          <w:noProof w:val="0"/>
          <w:sz w:val="24"/>
          <w:szCs w:val="24"/>
          <w:lang w:val="tr-TR"/>
        </w:rPr>
      </w:pPr>
      <w:r w:rsidRPr="440DE830" w:rsidR="430B4E53">
        <w:rPr>
          <w:rFonts w:ascii="Aptos" w:hAnsi="Aptos" w:eastAsia="Aptos" w:cs="Aptos"/>
          <w:noProof w:val="0"/>
          <w:sz w:val="24"/>
          <w:szCs w:val="24"/>
          <w:lang w:val="tr-TR"/>
        </w:rPr>
        <w:t>(g) taşıma işi</w:t>
      </w:r>
      <w:r w:rsidRPr="440DE830" w:rsidR="2BAB1AD9">
        <w:rPr>
          <w:rFonts w:ascii="Aptos" w:hAnsi="Aptos" w:eastAsia="Aptos" w:cs="Aptos"/>
          <w:noProof w:val="0"/>
          <w:sz w:val="24"/>
          <w:szCs w:val="24"/>
          <w:lang w:val="tr-TR"/>
        </w:rPr>
        <w:t xml:space="preserve"> </w:t>
      </w:r>
      <w:r w:rsidRPr="440DE830" w:rsidR="2BAB1AD9">
        <w:rPr>
          <w:rFonts w:ascii="Aptos" w:hAnsi="Aptos" w:eastAsia="Aptos" w:cs="Aptos"/>
          <w:noProof w:val="0"/>
          <w:sz w:val="24"/>
          <w:szCs w:val="24"/>
          <w:lang w:val="tr-TR"/>
        </w:rPr>
        <w:t>(</w:t>
      </w:r>
      <w:r w:rsidRPr="440DE830" w:rsidR="2BAB1AD9">
        <w:rPr>
          <w:rFonts w:ascii="Aptos" w:hAnsi="Aptos" w:eastAsia="Aptos" w:cs="Aptos"/>
          <w:noProof w:val="0"/>
          <w:sz w:val="24"/>
          <w:szCs w:val="24"/>
          <w:lang w:val="tr-TR"/>
        </w:rPr>
        <w:t>Transport</w:t>
      </w:r>
      <w:r w:rsidRPr="440DE830" w:rsidR="2BAB1AD9">
        <w:rPr>
          <w:rFonts w:ascii="Aptos" w:hAnsi="Aptos" w:eastAsia="Aptos" w:cs="Aptos"/>
          <w:noProof w:val="0"/>
          <w:sz w:val="24"/>
          <w:szCs w:val="24"/>
          <w:lang w:val="tr-TR"/>
        </w:rPr>
        <w:t xml:space="preserve"> </w:t>
      </w:r>
      <w:r w:rsidRPr="440DE830" w:rsidR="2BAB1AD9">
        <w:rPr>
          <w:rFonts w:ascii="Aptos" w:hAnsi="Aptos" w:eastAsia="Aptos" w:cs="Aptos"/>
          <w:noProof w:val="0"/>
          <w:sz w:val="24"/>
          <w:szCs w:val="24"/>
          <w:lang w:val="en-US"/>
        </w:rPr>
        <w:t>work</w:t>
      </w:r>
      <w:r w:rsidRPr="440DE830" w:rsidR="2BAB1AD9">
        <w:rPr>
          <w:rFonts w:ascii="Aptos" w:hAnsi="Aptos" w:eastAsia="Aptos" w:cs="Aptos"/>
          <w:noProof w:val="0"/>
          <w:sz w:val="24"/>
          <w:szCs w:val="24"/>
          <w:lang w:val="tr-TR"/>
        </w:rPr>
        <w:t>)</w:t>
      </w:r>
    </w:p>
    <w:p w:rsidR="430B4E53" w:rsidP="440DE830" w:rsidRDefault="430B4E53" w14:paraId="69C12B3D" w14:textId="3109F658">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Şirketler, uygulanabilir durumlarda geminin buz sınıfına ve buz üzerinden seyir bilgilerine ilişkin bilgileri de izleyebilir.</w:t>
      </w:r>
    </w:p>
    <w:p w:rsidR="430B4E53" w:rsidP="440DE830" w:rsidRDefault="430B4E53" w14:paraId="2C33B621" w14:textId="4368AB1C">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 xml:space="preserve">2. Bu Maddenin 1. fıkrasına istisna olarak ve 10. Maddeye halel getirmeksizin, bir şirket, belirli bir gemi için bu Maddenin 1. fıkrasında belirtilen bilgileri sefer bazında izleme yükümlülüğünden muaf tutulur, eğer: </w:t>
      </w:r>
    </w:p>
    <w:p w:rsidR="430B4E53" w:rsidP="440DE830" w:rsidRDefault="430B4E53" w14:paraId="5A5A5358" w14:textId="62B80C3D">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(a) geminin raporlama dönemindeki tüm seferleri bir Üye Devletin yetki alanındaki bir limandan başlayıp veya bu limanda sona eriyorsa; ve</w:t>
      </w:r>
    </w:p>
    <w:p w:rsidR="430B4E53" w:rsidP="440DE830" w:rsidRDefault="430B4E53" w14:paraId="3F66A349" w14:textId="402468C8">
      <w:pPr>
        <w:pStyle w:val="Normal"/>
        <w:keepNext w:val="0"/>
        <w:keepLines w:val="0"/>
        <w:spacing w:before="0" w:beforeAutospacing="off" w:after="120" w:afterAutospacing="off" w:line="240" w:lineRule="auto"/>
      </w:pPr>
      <w:r w:rsidRPr="440DE830" w:rsidR="430B4E53">
        <w:rPr>
          <w:rFonts w:ascii="Aptos" w:hAnsi="Aptos" w:eastAsia="Aptos" w:cs="Aptos"/>
          <w:noProof w:val="0"/>
          <w:sz w:val="24"/>
          <w:szCs w:val="24"/>
          <w:lang w:val="tr-TR"/>
        </w:rPr>
        <w:t>(b) gemi, programına göre raporlama döneminde 300'den fazla sefer gerçekleştiriyorsa.</w:t>
      </w:r>
    </w:p>
    <w:p w:rsidR="7517C044" w:rsidP="440DE830" w:rsidRDefault="7517C044" w14:paraId="293AAC9B" w14:textId="4CDBB59F">
      <w:pPr>
        <w:pStyle w:val="Heading3"/>
        <w:keepNext w:val="0"/>
        <w:keepLines w:val="0"/>
        <w:spacing w:before="0" w:beforeAutospacing="off" w:after="120" w:afterAutospacing="off" w:line="240" w:lineRule="auto"/>
        <w:rPr>
          <w:i w:val="1"/>
          <w:iCs w:val="1"/>
          <w:noProof w:val="0"/>
          <w:color w:val="A02B93" w:themeColor="accent5" w:themeTint="FF" w:themeShade="FF"/>
          <w:lang w:val="tr-TR"/>
        </w:rPr>
      </w:pPr>
      <w:r w:rsidRPr="440DE830" w:rsidR="7517C044">
        <w:rPr>
          <w:i w:val="1"/>
          <w:iCs w:val="1"/>
          <w:noProof w:val="0"/>
          <w:color w:val="A02B93" w:themeColor="accent5" w:themeTint="FF" w:themeShade="FF"/>
          <w:lang w:val="tr-TR"/>
        </w:rPr>
        <w:t>Yıl Bazında İzleme (Monitoring on an annual basis)</w:t>
      </w:r>
    </w:p>
    <w:p w:rsidR="61D6436A" w:rsidP="440DE830" w:rsidRDefault="61D6436A" w14:paraId="6F516FED" w14:textId="6AC8C3DF">
      <w:pPr>
        <w:pStyle w:val="Normal"/>
        <w:keepNext w:val="0"/>
        <w:keepLines w:val="0"/>
        <w:spacing w:before="0" w:beforeAutospacing="off" w:after="120" w:afterAutospacing="off" w:line="240" w:lineRule="auto"/>
        <w:rPr>
          <w:rFonts w:ascii="Aptos" w:hAnsi="Aptos" w:eastAsia="Aptos" w:cs="Aptos"/>
          <w:noProof w:val="0"/>
          <w:sz w:val="24"/>
          <w:szCs w:val="24"/>
          <w:lang w:val="tr-TR"/>
        </w:rPr>
      </w:pPr>
      <w:r w:rsidRPr="440DE830" w:rsidR="61D6436A">
        <w:rPr>
          <w:rFonts w:ascii="Aptos" w:hAnsi="Aptos" w:eastAsia="Aptos" w:cs="Aptos"/>
          <w:noProof w:val="0"/>
          <w:sz w:val="24"/>
          <w:szCs w:val="24"/>
          <w:lang w:val="tr-TR"/>
        </w:rPr>
        <w:t>Regğlasyonun 13(1) Maddesi uyarınca değerlendirilen izleme planına dayanarak, her gemi ve her takvim yılı için şirketler,</w:t>
      </w:r>
      <w:r w:rsidRPr="440DE830" w:rsidR="61D6436A">
        <w:rPr>
          <w:rFonts w:ascii="Aptos" w:hAnsi="Aptos" w:eastAsia="Aptos" w:cs="Aptos"/>
          <w:noProof w:val="0"/>
          <w:sz w:val="24"/>
          <w:szCs w:val="24"/>
          <w:lang w:val="tr-TR"/>
        </w:rPr>
        <w:t xml:space="preserve"> Ek </w:t>
      </w:r>
      <w:r w:rsidRPr="440DE830" w:rsidR="61D6436A">
        <w:rPr>
          <w:rFonts w:ascii="Aptos" w:hAnsi="Aptos" w:eastAsia="Aptos" w:cs="Aptos"/>
          <w:noProof w:val="0"/>
          <w:sz w:val="24"/>
          <w:szCs w:val="24"/>
          <w:lang w:val="tr-TR"/>
        </w:rPr>
        <w:t>I'in Bölüm A'sı ve</w:t>
      </w:r>
      <w:r w:rsidRPr="440DE830" w:rsidR="61D6436A">
        <w:rPr>
          <w:rFonts w:ascii="Aptos" w:hAnsi="Aptos" w:eastAsia="Aptos" w:cs="Aptos"/>
          <w:noProof w:val="0"/>
          <w:sz w:val="24"/>
          <w:szCs w:val="24"/>
          <w:lang w:val="tr-TR"/>
        </w:rPr>
        <w:t xml:space="preserve"> Ek II</w:t>
      </w:r>
      <w:r w:rsidRPr="440DE830" w:rsidR="61D6436A">
        <w:rPr>
          <w:rFonts w:ascii="Aptos" w:hAnsi="Aptos" w:eastAsia="Aptos" w:cs="Aptos"/>
          <w:noProof w:val="0"/>
          <w:sz w:val="24"/>
          <w:szCs w:val="24"/>
          <w:lang w:val="tr-TR"/>
        </w:rPr>
        <w:t>'nin Bölüm B'si uyarınca aşağıdaki parametreleri izleyecektir:</w:t>
      </w:r>
    </w:p>
    <w:p w:rsidR="61D6436A" w:rsidP="440DE830" w:rsidRDefault="61D6436A" w14:paraId="5912CA75" w14:textId="7661CE8C">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(a) tüketilen her yakıt türü için toplam miktar ve emisyon faktörü;</w:t>
      </w:r>
    </w:p>
    <w:p w:rsidR="61D6436A" w:rsidP="440DE830" w:rsidRDefault="61D6436A" w14:paraId="0FD46147" w14:textId="5540E8BA">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(b) bu reg</w:t>
      </w:r>
      <w:r w:rsidRPr="440DE830" w:rsidR="1A7CA223">
        <w:rPr>
          <w:rFonts w:ascii="Aptos" w:hAnsi="Aptos" w:eastAsia="Aptos" w:cs="Aptos"/>
          <w:noProof w:val="0"/>
          <w:sz w:val="24"/>
          <w:szCs w:val="24"/>
          <w:lang w:val="tr-TR"/>
        </w:rPr>
        <w:t>ü</w:t>
      </w:r>
      <w:r w:rsidRPr="440DE830" w:rsidR="61D6436A">
        <w:rPr>
          <w:rFonts w:ascii="Aptos" w:hAnsi="Aptos" w:eastAsia="Aptos" w:cs="Aptos"/>
          <w:noProof w:val="0"/>
          <w:sz w:val="24"/>
          <w:szCs w:val="24"/>
          <w:lang w:val="tr-TR"/>
        </w:rPr>
        <w:t>lasyon kapsamında toplam sera gazı emisyonu;</w:t>
      </w:r>
    </w:p>
    <w:p w:rsidR="61D6436A" w:rsidP="440DE830" w:rsidRDefault="61D6436A" w14:paraId="61C282F0" w14:textId="2C1B6933">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 xml:space="preserve">(c) bir </w:t>
      </w:r>
      <w:r w:rsidRPr="440DE830" w:rsidR="06758331">
        <w:rPr>
          <w:rFonts w:ascii="Aptos" w:hAnsi="Aptos" w:eastAsia="Aptos" w:cs="Aptos"/>
          <w:noProof w:val="0"/>
          <w:sz w:val="24"/>
          <w:szCs w:val="24"/>
          <w:lang w:val="tr-TR"/>
        </w:rPr>
        <w:t>ü</w:t>
      </w:r>
      <w:r w:rsidRPr="440DE830" w:rsidR="61D6436A">
        <w:rPr>
          <w:rFonts w:ascii="Aptos" w:hAnsi="Aptos" w:eastAsia="Aptos" w:cs="Aptos"/>
          <w:noProof w:val="0"/>
          <w:sz w:val="24"/>
          <w:szCs w:val="24"/>
          <w:lang w:val="tr-TR"/>
        </w:rPr>
        <w:t xml:space="preserve">ye </w:t>
      </w:r>
      <w:r w:rsidRPr="440DE830" w:rsidR="46ABF62E">
        <w:rPr>
          <w:rFonts w:ascii="Aptos" w:hAnsi="Aptos" w:eastAsia="Aptos" w:cs="Aptos"/>
          <w:noProof w:val="0"/>
          <w:sz w:val="24"/>
          <w:szCs w:val="24"/>
          <w:lang w:val="tr-TR"/>
        </w:rPr>
        <w:t>d</w:t>
      </w:r>
      <w:r w:rsidRPr="440DE830" w:rsidR="61D6436A">
        <w:rPr>
          <w:rFonts w:ascii="Aptos" w:hAnsi="Aptos" w:eastAsia="Aptos" w:cs="Aptos"/>
          <w:noProof w:val="0"/>
          <w:sz w:val="24"/>
          <w:szCs w:val="24"/>
          <w:lang w:val="tr-TR"/>
        </w:rPr>
        <w:t>evletin yetki alanındaki limanlar arasında yapılan tüm seferlerden kaynaklanan toplam sera gazı emisyonu;</w:t>
      </w:r>
    </w:p>
    <w:p w:rsidR="61D6436A" w:rsidP="440DE830" w:rsidRDefault="61D6436A" w14:paraId="01864ADE" w14:textId="61CB7238">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 xml:space="preserve">(d) bir </w:t>
      </w:r>
      <w:r w:rsidRPr="440DE830" w:rsidR="6A378196">
        <w:rPr>
          <w:rFonts w:ascii="Aptos" w:hAnsi="Aptos" w:eastAsia="Aptos" w:cs="Aptos"/>
          <w:noProof w:val="0"/>
          <w:sz w:val="24"/>
          <w:szCs w:val="24"/>
          <w:lang w:val="tr-TR"/>
        </w:rPr>
        <w:t>ü</w:t>
      </w:r>
      <w:r w:rsidRPr="440DE830" w:rsidR="61D6436A">
        <w:rPr>
          <w:rFonts w:ascii="Aptos" w:hAnsi="Aptos" w:eastAsia="Aptos" w:cs="Aptos"/>
          <w:noProof w:val="0"/>
          <w:sz w:val="24"/>
          <w:szCs w:val="24"/>
          <w:lang w:val="tr-TR"/>
        </w:rPr>
        <w:t xml:space="preserve">ye </w:t>
      </w:r>
      <w:r w:rsidRPr="440DE830" w:rsidR="48E8CD01">
        <w:rPr>
          <w:rFonts w:ascii="Aptos" w:hAnsi="Aptos" w:eastAsia="Aptos" w:cs="Aptos"/>
          <w:noProof w:val="0"/>
          <w:sz w:val="24"/>
          <w:szCs w:val="24"/>
          <w:lang w:val="tr-TR"/>
        </w:rPr>
        <w:t>d</w:t>
      </w:r>
      <w:r w:rsidRPr="440DE830" w:rsidR="61D6436A">
        <w:rPr>
          <w:rFonts w:ascii="Aptos" w:hAnsi="Aptos" w:eastAsia="Aptos" w:cs="Aptos"/>
          <w:noProof w:val="0"/>
          <w:sz w:val="24"/>
          <w:szCs w:val="24"/>
          <w:lang w:val="tr-TR"/>
        </w:rPr>
        <w:t>evletin yetki alanındaki limanlardan ayrılan tüm seferlerden kaynaklanan toplam sera gazı emisyonu;</w:t>
      </w:r>
    </w:p>
    <w:p w:rsidR="61D6436A" w:rsidP="440DE830" w:rsidRDefault="61D6436A" w14:paraId="087E34DB" w14:textId="22C0BF12">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 xml:space="preserve">(e) bir </w:t>
      </w:r>
      <w:r w:rsidRPr="440DE830" w:rsidR="3E942A6C">
        <w:rPr>
          <w:rFonts w:ascii="Aptos" w:hAnsi="Aptos" w:eastAsia="Aptos" w:cs="Aptos"/>
          <w:noProof w:val="0"/>
          <w:sz w:val="24"/>
          <w:szCs w:val="24"/>
          <w:lang w:val="tr-TR"/>
        </w:rPr>
        <w:t>ü</w:t>
      </w:r>
      <w:r w:rsidRPr="440DE830" w:rsidR="61D6436A">
        <w:rPr>
          <w:rFonts w:ascii="Aptos" w:hAnsi="Aptos" w:eastAsia="Aptos" w:cs="Aptos"/>
          <w:noProof w:val="0"/>
          <w:sz w:val="24"/>
          <w:szCs w:val="24"/>
          <w:lang w:val="tr-TR"/>
        </w:rPr>
        <w:t xml:space="preserve">ye </w:t>
      </w:r>
      <w:r w:rsidRPr="440DE830" w:rsidR="722446E6">
        <w:rPr>
          <w:rFonts w:ascii="Aptos" w:hAnsi="Aptos" w:eastAsia="Aptos" w:cs="Aptos"/>
          <w:noProof w:val="0"/>
          <w:sz w:val="24"/>
          <w:szCs w:val="24"/>
          <w:lang w:val="tr-TR"/>
        </w:rPr>
        <w:t>d</w:t>
      </w:r>
      <w:r w:rsidRPr="440DE830" w:rsidR="61D6436A">
        <w:rPr>
          <w:rFonts w:ascii="Aptos" w:hAnsi="Aptos" w:eastAsia="Aptos" w:cs="Aptos"/>
          <w:noProof w:val="0"/>
          <w:sz w:val="24"/>
          <w:szCs w:val="24"/>
          <w:lang w:val="tr-TR"/>
        </w:rPr>
        <w:t>evletin yetki alanındaki limanlara yapılan tüm seferlerden kaynaklanan toplam sera gazı emisyonu;</w:t>
      </w:r>
    </w:p>
    <w:p w:rsidR="61D6436A" w:rsidP="440DE830" w:rsidRDefault="61D6436A" w14:paraId="796A8689" w14:textId="2F096322">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 xml:space="preserve">(f) bir </w:t>
      </w:r>
      <w:r w:rsidRPr="440DE830" w:rsidR="10F7C359">
        <w:rPr>
          <w:rFonts w:ascii="Aptos" w:hAnsi="Aptos" w:eastAsia="Aptos" w:cs="Aptos"/>
          <w:noProof w:val="0"/>
          <w:sz w:val="24"/>
          <w:szCs w:val="24"/>
          <w:lang w:val="tr-TR"/>
        </w:rPr>
        <w:t>ü</w:t>
      </w:r>
      <w:r w:rsidRPr="440DE830" w:rsidR="61D6436A">
        <w:rPr>
          <w:rFonts w:ascii="Aptos" w:hAnsi="Aptos" w:eastAsia="Aptos" w:cs="Aptos"/>
          <w:noProof w:val="0"/>
          <w:sz w:val="24"/>
          <w:szCs w:val="24"/>
          <w:lang w:val="tr-TR"/>
        </w:rPr>
        <w:t xml:space="preserve">ye </w:t>
      </w:r>
      <w:r w:rsidRPr="440DE830" w:rsidR="20745BA9">
        <w:rPr>
          <w:rFonts w:ascii="Aptos" w:hAnsi="Aptos" w:eastAsia="Aptos" w:cs="Aptos"/>
          <w:noProof w:val="0"/>
          <w:sz w:val="24"/>
          <w:szCs w:val="24"/>
          <w:lang w:val="tr-TR"/>
        </w:rPr>
        <w:t>d</w:t>
      </w:r>
      <w:r w:rsidRPr="440DE830" w:rsidR="61D6436A">
        <w:rPr>
          <w:rFonts w:ascii="Aptos" w:hAnsi="Aptos" w:eastAsia="Aptos" w:cs="Aptos"/>
          <w:noProof w:val="0"/>
          <w:sz w:val="24"/>
          <w:szCs w:val="24"/>
          <w:lang w:val="tr-TR"/>
        </w:rPr>
        <w:t>evletin yetki alanındaki limanlarda yanaşmış halde meydana gelen sera gazı emisyonları;</w:t>
      </w:r>
    </w:p>
    <w:p w:rsidR="61D6436A" w:rsidP="440DE830" w:rsidRDefault="61D6436A" w14:paraId="1C249532" w14:textId="30DFC555">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(g) toplam kat edilen mesafe;</w:t>
      </w:r>
    </w:p>
    <w:p w:rsidR="61D6436A" w:rsidP="440DE830" w:rsidRDefault="61D6436A" w14:paraId="7562043A" w14:textId="36873B41">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(h) denizde geçirilen toplam süre;</w:t>
      </w:r>
    </w:p>
    <w:p w:rsidR="61D6436A" w:rsidP="440DE830" w:rsidRDefault="61D6436A" w14:paraId="7C22B60A" w14:textId="72365157">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(i) toplam taşıma işi</w:t>
      </w:r>
      <w:r w:rsidRPr="440DE830" w:rsidR="714A7D75">
        <w:rPr>
          <w:rFonts w:ascii="Aptos" w:hAnsi="Aptos" w:eastAsia="Aptos" w:cs="Aptos"/>
          <w:noProof w:val="0"/>
          <w:sz w:val="24"/>
          <w:szCs w:val="24"/>
          <w:lang w:val="tr-TR"/>
        </w:rPr>
        <w:t xml:space="preserve"> (total transport work)</w:t>
      </w:r>
      <w:r w:rsidRPr="440DE830" w:rsidR="61D6436A">
        <w:rPr>
          <w:rFonts w:ascii="Aptos" w:hAnsi="Aptos" w:eastAsia="Aptos" w:cs="Aptos"/>
          <w:noProof w:val="0"/>
          <w:sz w:val="24"/>
          <w:szCs w:val="24"/>
          <w:lang w:val="tr-TR"/>
        </w:rPr>
        <w:t>;</w:t>
      </w:r>
    </w:p>
    <w:p w:rsidR="61D6436A" w:rsidP="440DE830" w:rsidRDefault="61D6436A" w14:paraId="35AFB50C" w14:textId="44705ED4">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(j) ortalama enerji verimliliği;</w:t>
      </w:r>
    </w:p>
    <w:p w:rsidR="61D6436A" w:rsidP="440DE830" w:rsidRDefault="61D6436A" w14:paraId="0392B1B4" w14:textId="0B66C554">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 xml:space="preserve">(k) 2003/87/EC sayılı Direktif kapsamında deniz taşımacılığı faaliyetlerine ilişkin Ek </w:t>
      </w:r>
      <w:r w:rsidRPr="440DE830" w:rsidR="61D6436A">
        <w:rPr>
          <w:rFonts w:ascii="Aptos" w:hAnsi="Aptos" w:eastAsia="Aptos" w:cs="Aptos"/>
          <w:noProof w:val="0"/>
          <w:sz w:val="24"/>
          <w:szCs w:val="24"/>
          <w:lang w:val="tr-TR"/>
        </w:rPr>
        <w:t>I’e</w:t>
      </w:r>
      <w:r w:rsidRPr="440DE830" w:rsidR="61D6436A">
        <w:rPr>
          <w:rFonts w:ascii="Aptos" w:hAnsi="Aptos" w:eastAsia="Aptos" w:cs="Aptos"/>
          <w:noProof w:val="0"/>
          <w:sz w:val="24"/>
          <w:szCs w:val="24"/>
          <w:lang w:val="tr-TR"/>
        </w:rPr>
        <w:t xml:space="preserve"> göre raporlanacak olan sera gazı emisyonlarının toplamı ve </w:t>
      </w:r>
      <w:r w:rsidRPr="440DE830" w:rsidR="0EFCF889">
        <w:rPr>
          <w:rFonts w:ascii="Aptos" w:hAnsi="Aptos" w:eastAsia="Aptos" w:cs="Aptos"/>
          <w:noProof w:val="0"/>
          <w:sz w:val="24"/>
          <w:szCs w:val="24"/>
          <w:lang w:val="tr-TR"/>
        </w:rPr>
        <w:t xml:space="preserve">bu regülasyonun </w:t>
      </w:r>
      <w:r w:rsidRPr="440DE830" w:rsidR="61D6436A">
        <w:rPr>
          <w:rFonts w:ascii="Aptos" w:hAnsi="Aptos" w:eastAsia="Aptos" w:cs="Aptos"/>
          <w:noProof w:val="0"/>
          <w:sz w:val="24"/>
          <w:szCs w:val="24"/>
          <w:lang w:val="tr-TR"/>
        </w:rPr>
        <w:t>12(3)'üncü Maddesinin</w:t>
      </w:r>
      <w:r w:rsidRPr="440DE830" w:rsidR="61D6436A">
        <w:rPr>
          <w:rFonts w:ascii="Aptos" w:hAnsi="Aptos" w:eastAsia="Aptos" w:cs="Aptos"/>
          <w:noProof w:val="0"/>
          <w:sz w:val="24"/>
          <w:szCs w:val="24"/>
          <w:lang w:val="tr-TR"/>
        </w:rPr>
        <w:t xml:space="preserve"> (3-e) ila (3-b) fıkralarında sağlanan her türlü ilgili istisnanın uygulanmasını haklı çıkarmak için gerekli bilgiler.</w:t>
      </w:r>
    </w:p>
    <w:p w:rsidR="61D6436A" w:rsidP="440DE830" w:rsidRDefault="61D6436A" w14:paraId="570F9B1A" w14:textId="755FE5A3">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Şirketler, uygulanabilir durumlarda geminin buz sınıfına ve buz üzerinden seyir bilgilerine ilişkin bilgileri izleyebilir.</w:t>
      </w:r>
    </w:p>
    <w:p w:rsidR="61D6436A" w:rsidP="440DE830" w:rsidRDefault="61D6436A" w14:paraId="6FE96A30" w14:textId="732AE2D2">
      <w:pPr>
        <w:pStyle w:val="Normal"/>
        <w:keepNext w:val="0"/>
        <w:keepLines w:val="0"/>
        <w:spacing w:before="0" w:beforeAutospacing="off" w:after="120" w:afterAutospacing="off" w:line="240" w:lineRule="auto"/>
      </w:pPr>
      <w:r w:rsidRPr="440DE830" w:rsidR="61D6436A">
        <w:rPr>
          <w:rFonts w:ascii="Aptos" w:hAnsi="Aptos" w:eastAsia="Aptos" w:cs="Aptos"/>
          <w:noProof w:val="0"/>
          <w:sz w:val="24"/>
          <w:szCs w:val="24"/>
          <w:lang w:val="tr-TR"/>
        </w:rPr>
        <w:t>Ayrıca şirketler, izleme planında tanımlanan diğer kriterlere göre ayrım yaparak tüketilen yakıt ve salınan sera gazı emisyonlarını izleyebilir.</w:t>
      </w:r>
    </w:p>
    <w:p w:rsidR="4B925931" w:rsidP="440DE830" w:rsidRDefault="4B925931" w14:paraId="0055173D" w14:textId="7D6563F1">
      <w:pPr>
        <w:pStyle w:val="Balk2"/>
        <w:keepNext w:val="0"/>
        <w:keepLines w:val="0"/>
        <w:widowControl w:val="0"/>
        <w:suppressLineNumbers w:val="0"/>
        <w:bidi w:val="0"/>
        <w:spacing w:before="0" w:beforeAutospacing="off" w:after="120" w:afterAutospacing="off" w:line="240" w:lineRule="auto"/>
        <w:ind w:left="0" w:right="0"/>
        <w:jc w:val="left"/>
        <w:rPr>
          <w:b w:val="1"/>
          <w:bCs w:val="1"/>
          <w:i w:val="1"/>
          <w:iCs w:val="1"/>
          <w:noProof w:val="0"/>
          <w:sz w:val="32"/>
          <w:szCs w:val="32"/>
          <w:lang w:val="tr"/>
        </w:rPr>
      </w:pPr>
      <w:r w:rsidRPr="440DE830" w:rsidR="4B925931">
        <w:rPr>
          <w:b w:val="1"/>
          <w:bCs w:val="1"/>
          <w:i w:val="1"/>
          <w:iCs w:val="1"/>
          <w:noProof w:val="0"/>
          <w:sz w:val="32"/>
          <w:szCs w:val="32"/>
          <w:lang w:val="tr"/>
        </w:rPr>
        <w:t>Sera Gaz</w:t>
      </w:r>
      <w:r w:rsidRPr="440DE830" w:rsidR="1159F200">
        <w:rPr>
          <w:b w:val="1"/>
          <w:bCs w:val="1"/>
          <w:i w:val="1"/>
          <w:iCs w:val="1"/>
          <w:noProof w:val="0"/>
          <w:sz w:val="32"/>
          <w:szCs w:val="32"/>
          <w:lang w:val="tr"/>
        </w:rPr>
        <w:t>ı</w:t>
      </w:r>
      <w:r w:rsidRPr="440DE830" w:rsidR="4B925931">
        <w:rPr>
          <w:b w:val="1"/>
          <w:bCs w:val="1"/>
          <w:i w:val="1"/>
          <w:iCs w:val="1"/>
          <w:noProof w:val="0"/>
          <w:sz w:val="32"/>
          <w:szCs w:val="32"/>
          <w:lang w:val="tr"/>
        </w:rPr>
        <w:t xml:space="preserve"> Emi̇syonlar</w:t>
      </w:r>
      <w:r w:rsidRPr="440DE830" w:rsidR="77C91392">
        <w:rPr>
          <w:b w:val="1"/>
          <w:bCs w:val="1"/>
          <w:i w:val="1"/>
          <w:iCs w:val="1"/>
          <w:noProof w:val="0"/>
          <w:sz w:val="32"/>
          <w:szCs w:val="32"/>
          <w:lang w:val="tr"/>
        </w:rPr>
        <w:t>ını</w:t>
      </w:r>
      <w:r w:rsidRPr="440DE830" w:rsidR="4B925931">
        <w:rPr>
          <w:b w:val="1"/>
          <w:bCs w:val="1"/>
          <w:i w:val="1"/>
          <w:iCs w:val="1"/>
          <w:noProof w:val="0"/>
          <w:sz w:val="32"/>
          <w:szCs w:val="32"/>
          <w:lang w:val="tr"/>
        </w:rPr>
        <w:t xml:space="preserve"> Beli̇rlem</w:t>
      </w:r>
      <w:r w:rsidRPr="440DE830" w:rsidR="60E48997">
        <w:rPr>
          <w:b w:val="1"/>
          <w:bCs w:val="1"/>
          <w:i w:val="1"/>
          <w:iCs w:val="1"/>
          <w:noProof w:val="0"/>
          <w:sz w:val="32"/>
          <w:szCs w:val="32"/>
          <w:lang w:val="tr"/>
        </w:rPr>
        <w:t>e</w:t>
      </w:r>
      <w:r w:rsidRPr="440DE830" w:rsidR="4B925931">
        <w:rPr>
          <w:b w:val="1"/>
          <w:bCs w:val="1"/>
          <w:i w:val="1"/>
          <w:iCs w:val="1"/>
          <w:noProof w:val="0"/>
          <w:sz w:val="32"/>
          <w:szCs w:val="32"/>
          <w:lang w:val="tr"/>
        </w:rPr>
        <w:t xml:space="preserve"> Yöntemle</w:t>
      </w:r>
      <w:r w:rsidRPr="440DE830" w:rsidR="3D5E7531">
        <w:rPr>
          <w:b w:val="1"/>
          <w:bCs w:val="1"/>
          <w:i w:val="1"/>
          <w:iCs w:val="1"/>
          <w:noProof w:val="0"/>
          <w:sz w:val="32"/>
          <w:szCs w:val="32"/>
          <w:lang w:val="tr"/>
        </w:rPr>
        <w:t>ri</w:t>
      </w:r>
    </w:p>
    <w:p w:rsidR="2028C2F5" w:rsidP="440DE830" w:rsidRDefault="2028C2F5" w14:paraId="72186CC0" w14:textId="20A45153">
      <w:pPr>
        <w:bidi w:val="0"/>
        <w:spacing w:before="0" w:beforeAutospacing="off" w:after="120" w:afterAutospacing="off" w:line="240" w:lineRule="auto"/>
      </w:pPr>
      <w:r w:rsidRPr="440DE830" w:rsidR="2028C2F5">
        <w:rPr>
          <w:noProof w:val="0"/>
          <w:lang w:val="tr-TR"/>
        </w:rPr>
        <w:t>Şirket, sorumluluğundaki her bir gemi için hangi izleme yönteminin kullanılacağını izleme planında belirtmeli ve bir yöntem seçildikten sonra bunun tutarlı bir şekilde uygulandığından emin olmalıdır.</w:t>
      </w:r>
    </w:p>
    <w:p w:rsidR="2028C2F5" w:rsidP="440DE830" w:rsidRDefault="2028C2F5" w14:paraId="1A87C024" w14:textId="5500E970">
      <w:pPr>
        <w:bidi w:val="0"/>
        <w:spacing w:before="0" w:beforeAutospacing="off" w:after="120" w:afterAutospacing="off" w:line="240" w:lineRule="auto"/>
      </w:pPr>
      <w:r w:rsidRPr="440DE830" w:rsidR="2028C2F5">
        <w:rPr>
          <w:noProof w:val="0"/>
          <w:lang w:val="tr-TR"/>
        </w:rPr>
        <w:t>Hesaplama yaklaşımına veya ölçüm yaklaşımına dayanan aşağıdaki A, B, C ve D yöntemleri kullanılabilir.</w:t>
      </w:r>
    </w:p>
    <w:p w:rsidR="2028C2F5" w:rsidP="440DE830" w:rsidRDefault="2028C2F5" w14:paraId="447F7E6F" w14:textId="4773DD14">
      <w:pPr>
        <w:bidi w:val="0"/>
        <w:spacing w:before="0" w:beforeAutospacing="off" w:after="120" w:afterAutospacing="off" w:line="240" w:lineRule="auto"/>
      </w:pPr>
      <w:r w:rsidRPr="440DE830" w:rsidR="2028C2F5">
        <w:rPr>
          <w:noProof w:val="0"/>
          <w:lang w:val="tr-TR"/>
        </w:rPr>
        <w:t xml:space="preserve">Hesaplama yaklaşımı kapsamında (A, B ve C yöntemleri), </w:t>
      </w:r>
      <w:r w:rsidRPr="440DE830" w:rsidR="369FA941">
        <w:rPr>
          <w:noProof w:val="0"/>
          <w:lang w:val="tr-TR"/>
        </w:rPr>
        <w:t xml:space="preserve">regülasyonun </w:t>
      </w:r>
      <w:r w:rsidRPr="440DE830" w:rsidR="2028C2F5">
        <w:rPr>
          <w:noProof w:val="0"/>
          <w:lang w:val="tr-TR"/>
        </w:rPr>
        <w:t xml:space="preserve">emisyonlar Bölüm A'da belirtilen formüller kullanılarak hesaplanmalıdır. Bu amaçla, her sefer için gerçek yakıt tüketimi aşağıda açıklanan yöntemlerden A, B veya C ile belirlenmeli ve hesaplama amacıyla kullanılmalıdır. A, B veya C yöntemlerinden herhangi biri seçilirken belirsizlik kaynakları ve ilişkili belirsizlik seviyeleri dikkate alınmalıdır. Şirket, </w:t>
      </w:r>
      <w:r w:rsidRPr="440DE830" w:rsidR="2028C2F5">
        <w:rPr>
          <w:noProof w:val="0"/>
          <w:lang w:val="tr-TR"/>
        </w:rPr>
        <w:t>Bunker</w:t>
      </w:r>
      <w:r w:rsidRPr="440DE830" w:rsidR="2028C2F5">
        <w:rPr>
          <w:noProof w:val="0"/>
          <w:lang w:val="tr-TR"/>
        </w:rPr>
        <w:t xml:space="preserve"> Teslimat Notu (BDN) tarafından sağlanan yakıt miktarı ile gemide yapılan ölçümle belirtilen yakıt miktarı arasında çapraz kontroller dahil olmak üzere uygun kontrol faaliyetlerini düzenli olarak gerçekleştirmeli ve önemli sapmalar gözlemlendiğinde düzeltici önlemler almalıdır.</w:t>
      </w:r>
    </w:p>
    <w:p w:rsidR="2028C2F5" w:rsidP="440DE830" w:rsidRDefault="2028C2F5" w14:paraId="3C29B3AA" w14:textId="16CE67D4">
      <w:pPr>
        <w:bidi w:val="0"/>
        <w:spacing w:before="0" w:beforeAutospacing="off" w:after="120" w:afterAutospacing="off" w:line="240" w:lineRule="auto"/>
      </w:pPr>
      <w:r w:rsidRPr="440DE830" w:rsidR="2028C2F5">
        <w:rPr>
          <w:noProof w:val="0"/>
          <w:lang w:val="tr-TR"/>
        </w:rPr>
        <w:t>Ölçüm yaklaşımı kapsamında (yöntem D), doğrudan sera gazı emisyonu ölçümleri kullanılır.</w:t>
      </w:r>
    </w:p>
    <w:p w:rsidR="2028C2F5" w:rsidP="440DE830" w:rsidRDefault="2028C2F5" w14:paraId="096F3A45" w14:textId="72AFCD9E">
      <w:pPr>
        <w:bidi w:val="0"/>
        <w:spacing w:before="0" w:beforeAutospacing="off" w:after="120" w:afterAutospacing="off" w:line="240" w:lineRule="auto"/>
      </w:pPr>
      <w:r w:rsidRPr="440DE830" w:rsidR="2028C2F5">
        <w:rPr>
          <w:noProof w:val="0"/>
          <w:lang w:val="tr-TR"/>
        </w:rPr>
        <w:t>Doğrulayıcı tarafından değerlendirildikten sonra, genel ölçüm doğruluğunu artırıyorsa, A, B, C ve D yöntemlerinin herhangi bir kombinasyonu kullanılabilir.</w:t>
      </w:r>
    </w:p>
    <w:p w:rsidR="171C0540" w:rsidP="440DE830" w:rsidRDefault="171C0540" w14:paraId="343BBB95" w14:textId="630E4A24">
      <w:pPr>
        <w:pStyle w:val="Normal"/>
        <w:keepNext w:val="0"/>
        <w:keepLines w:val="0"/>
        <w:bidi w:val="0"/>
        <w:spacing w:before="0" w:beforeAutospacing="off" w:after="120" w:afterAutospacing="off" w:line="240" w:lineRule="auto"/>
        <w:rPr>
          <w:rStyle w:val="Heading3Char"/>
          <w:i w:val="1"/>
          <w:iCs w:val="1"/>
          <w:noProof w:val="0"/>
          <w:color w:val="A02B93" w:themeColor="accent5" w:themeTint="FF" w:themeShade="FF"/>
          <w:lang w:val="tr-TR"/>
        </w:rPr>
      </w:pPr>
      <w:r w:rsidRPr="440DE830" w:rsidR="171C0540">
        <w:rPr>
          <w:rStyle w:val="Heading3Char"/>
          <w:b w:val="1"/>
          <w:bCs w:val="1"/>
          <w:i w:val="1"/>
          <w:iCs w:val="1"/>
          <w:noProof w:val="0"/>
          <w:color w:val="A02B93" w:themeColor="accent5" w:themeTint="FF" w:themeShade="FF"/>
          <w:lang w:val="tr-TR"/>
        </w:rPr>
        <w:t xml:space="preserve">1. Yöntem A: </w:t>
      </w:r>
      <w:r w:rsidRPr="440DE830" w:rsidR="171C0540">
        <w:rPr>
          <w:rStyle w:val="Heading3Char"/>
          <w:i w:val="1"/>
          <w:iCs w:val="1"/>
          <w:noProof w:val="0"/>
          <w:color w:val="A02B93" w:themeColor="accent5" w:themeTint="FF" w:themeShade="FF"/>
          <w:lang w:val="tr-TR"/>
        </w:rPr>
        <w:t>BDN ve yakıt tanklarının periyodik</w:t>
      </w:r>
      <w:r w:rsidRPr="440DE830" w:rsidR="5307CC6D">
        <w:rPr>
          <w:rStyle w:val="Heading3Char"/>
          <w:i w:val="1"/>
          <w:iCs w:val="1"/>
          <w:noProof w:val="0"/>
          <w:color w:val="A02B93" w:themeColor="accent5" w:themeTint="FF" w:themeShade="FF"/>
          <w:lang w:val="tr-TR"/>
        </w:rPr>
        <w:t xml:space="preserve"> miktar</w:t>
      </w:r>
      <w:r w:rsidRPr="440DE830" w:rsidR="171C0540">
        <w:rPr>
          <w:rStyle w:val="Heading3Char"/>
          <w:i w:val="1"/>
          <w:iCs w:val="1"/>
          <w:noProof w:val="0"/>
          <w:color w:val="A02B93" w:themeColor="accent5" w:themeTint="FF" w:themeShade="FF"/>
          <w:lang w:val="tr-TR"/>
        </w:rPr>
        <w:t xml:space="preserve"> </w:t>
      </w:r>
      <w:r w:rsidRPr="440DE830" w:rsidR="00C8C311">
        <w:rPr>
          <w:rStyle w:val="Heading3Char"/>
          <w:i w:val="1"/>
          <w:iCs w:val="1"/>
          <w:noProof w:val="0"/>
          <w:color w:val="A02B93" w:themeColor="accent5" w:themeTint="FF" w:themeShade="FF"/>
          <w:lang w:val="tr-TR"/>
        </w:rPr>
        <w:t>ölçümü</w:t>
      </w:r>
      <w:r w:rsidRPr="440DE830" w:rsidR="6F0C3F8C">
        <w:rPr>
          <w:rStyle w:val="Heading3Char"/>
          <w:i w:val="1"/>
          <w:iCs w:val="1"/>
          <w:noProof w:val="0"/>
          <w:color w:val="A02B93" w:themeColor="accent5" w:themeTint="FF" w:themeShade="FF"/>
          <w:lang w:val="tr-TR"/>
        </w:rPr>
        <w:t xml:space="preserve"> (BDN and </w:t>
      </w:r>
      <w:r w:rsidRPr="440DE830" w:rsidR="6F0C3F8C">
        <w:rPr>
          <w:rStyle w:val="Heading3Char"/>
          <w:i w:val="1"/>
          <w:iCs w:val="1"/>
          <w:noProof w:val="0"/>
          <w:color w:val="A02B93" w:themeColor="accent5" w:themeTint="FF" w:themeShade="FF"/>
          <w:lang w:val="en-US"/>
        </w:rPr>
        <w:t xml:space="preserve">periodic </w:t>
      </w:r>
      <w:r w:rsidRPr="440DE830" w:rsidR="6F0C3F8C">
        <w:rPr>
          <w:rStyle w:val="Heading3Char"/>
          <w:i w:val="1"/>
          <w:iCs w:val="1"/>
          <w:noProof w:val="0"/>
          <w:color w:val="A02B93" w:themeColor="accent5" w:themeTint="FF" w:themeShade="FF"/>
          <w:lang w:val="en-US"/>
        </w:rPr>
        <w:t>stock</w:t>
      </w:r>
      <w:r w:rsidRPr="440DE830" w:rsidR="5CBED649">
        <w:rPr>
          <w:rStyle w:val="Heading3Char"/>
          <w:i w:val="1"/>
          <w:iCs w:val="1"/>
          <w:noProof w:val="0"/>
          <w:color w:val="A02B93" w:themeColor="accent5" w:themeTint="FF" w:themeShade="FF"/>
          <w:lang w:val="en-US"/>
        </w:rPr>
        <w:t xml:space="preserve"> </w:t>
      </w:r>
      <w:r w:rsidRPr="440DE830" w:rsidR="6F0C3F8C">
        <w:rPr>
          <w:rStyle w:val="Heading3Char"/>
          <w:i w:val="1"/>
          <w:iCs w:val="1"/>
          <w:noProof w:val="0"/>
          <w:color w:val="A02B93" w:themeColor="accent5" w:themeTint="FF" w:themeShade="FF"/>
          <w:lang w:val="en-US"/>
        </w:rPr>
        <w:t>takes</w:t>
      </w:r>
      <w:r w:rsidRPr="440DE830" w:rsidR="6F0C3F8C">
        <w:rPr>
          <w:rStyle w:val="Heading3Char"/>
          <w:i w:val="1"/>
          <w:iCs w:val="1"/>
          <w:noProof w:val="0"/>
          <w:color w:val="A02B93" w:themeColor="accent5" w:themeTint="FF" w:themeShade="FF"/>
          <w:lang w:val="en-US"/>
        </w:rPr>
        <w:t xml:space="preserve"> of fuel tanks</w:t>
      </w:r>
      <w:r w:rsidRPr="440DE830" w:rsidR="6F0C3F8C">
        <w:rPr>
          <w:rStyle w:val="Heading3Char"/>
          <w:i w:val="1"/>
          <w:iCs w:val="1"/>
          <w:noProof w:val="0"/>
          <w:color w:val="A02B93" w:themeColor="accent5" w:themeTint="FF" w:themeShade="FF"/>
          <w:lang w:val="tr-TR"/>
        </w:rPr>
        <w:t>)</w:t>
      </w:r>
    </w:p>
    <w:p w:rsidR="0936800C" w:rsidP="440DE830" w:rsidRDefault="0936800C" w14:paraId="6079ADA6" w14:textId="26E6D58C">
      <w:pPr>
        <w:pStyle w:val="Normal"/>
        <w:keepNext w:val="0"/>
        <w:keepLines w:val="0"/>
        <w:bidi w:val="0"/>
        <w:spacing w:before="0" w:beforeAutospacing="off" w:after="120" w:afterAutospacing="off" w:line="240" w:lineRule="auto"/>
        <w:jc w:val="both"/>
        <w:rPr>
          <w:noProof w:val="0"/>
          <w:lang w:val="tr-TR"/>
        </w:rPr>
      </w:pPr>
      <w:r w:rsidRPr="440DE830" w:rsidR="0936800C">
        <w:rPr>
          <w:noProof w:val="0"/>
          <w:lang w:val="tr-TR"/>
        </w:rPr>
        <w:t xml:space="preserve">Bu yöntem, </w:t>
      </w:r>
      <w:r w:rsidRPr="440DE830" w:rsidR="0936800C">
        <w:rPr>
          <w:noProof w:val="0"/>
          <w:lang w:val="tr-TR"/>
        </w:rPr>
        <w:t>BDN'de</w:t>
      </w:r>
      <w:r w:rsidRPr="440DE830" w:rsidR="0936800C">
        <w:rPr>
          <w:noProof w:val="0"/>
          <w:lang w:val="tr-TR"/>
        </w:rPr>
        <w:t xml:space="preserve"> belirtilen yakıt miktarı ve türüne ve tank okumalarına dayalı olarak yakıt tanklarının periyodik</w:t>
      </w:r>
      <w:r w:rsidRPr="440DE830" w:rsidR="05D66222">
        <w:rPr>
          <w:noProof w:val="0"/>
          <w:lang w:val="tr-TR"/>
        </w:rPr>
        <w:t xml:space="preserve"> miktar ölçümün</w:t>
      </w:r>
      <w:r w:rsidRPr="440DE830" w:rsidR="39D777AD">
        <w:rPr>
          <w:noProof w:val="0"/>
          <w:lang w:val="tr-TR"/>
        </w:rPr>
        <w:t>ün birleştirilmesine</w:t>
      </w:r>
      <w:r w:rsidRPr="440DE830" w:rsidR="05D66222">
        <w:rPr>
          <w:noProof w:val="0"/>
          <w:lang w:val="tr-TR"/>
        </w:rPr>
        <w:t xml:space="preserve"> </w:t>
      </w:r>
      <w:r w:rsidRPr="440DE830" w:rsidR="0936800C">
        <w:rPr>
          <w:noProof w:val="0"/>
          <w:lang w:val="tr-TR"/>
        </w:rPr>
        <w:t>dayanmaktadır</w:t>
      </w:r>
      <w:r w:rsidRPr="440DE830" w:rsidR="171C0540">
        <w:rPr>
          <w:noProof w:val="0"/>
          <w:lang w:val="tr-TR"/>
        </w:rPr>
        <w:t>. Dönem başındaki yakıt miktarı</w:t>
      </w:r>
      <w:r w:rsidRPr="440DE830" w:rsidR="4408804D">
        <w:rPr>
          <w:noProof w:val="0"/>
          <w:lang w:val="tr-TR"/>
        </w:rPr>
        <w:t>na</w:t>
      </w:r>
      <w:r w:rsidRPr="440DE830" w:rsidR="171C0540">
        <w:rPr>
          <w:noProof w:val="0"/>
          <w:lang w:val="tr-TR"/>
        </w:rPr>
        <w:t xml:space="preserve"> </w:t>
      </w:r>
      <w:r w:rsidRPr="440DE830" w:rsidR="58B28C67">
        <w:rPr>
          <w:noProof w:val="0"/>
          <w:lang w:val="tr-TR"/>
        </w:rPr>
        <w:t>sonradan alınan yakıt</w:t>
      </w:r>
      <w:r w:rsidRPr="440DE830" w:rsidR="171C0540">
        <w:rPr>
          <w:noProof w:val="0"/>
          <w:lang w:val="tr-TR"/>
        </w:rPr>
        <w:t xml:space="preserve"> eklenir, dönem </w:t>
      </w:r>
      <w:r w:rsidRPr="440DE830" w:rsidR="171C0540">
        <w:rPr>
          <w:noProof w:val="0"/>
          <w:lang w:val="tr-TR"/>
        </w:rPr>
        <w:t>sonundaki mevcut</w:t>
      </w:r>
      <w:r w:rsidRPr="440DE830" w:rsidR="171C0540">
        <w:rPr>
          <w:noProof w:val="0"/>
          <w:lang w:val="tr-TR"/>
        </w:rPr>
        <w:t xml:space="preserve"> yakıt miktarı ve dönem başı ile sonu arasındaki </w:t>
      </w:r>
      <w:r w:rsidRPr="440DE830" w:rsidR="0D634E02">
        <w:rPr>
          <w:noProof w:val="0"/>
          <w:lang w:val="tr-TR"/>
        </w:rPr>
        <w:t xml:space="preserve">herhangi bir sebeple boşaltım </w:t>
      </w:r>
      <w:r w:rsidRPr="440DE830" w:rsidR="6F265C30">
        <w:rPr>
          <w:noProof w:val="0"/>
          <w:lang w:val="tr-TR"/>
        </w:rPr>
        <w:t>yapılan</w:t>
      </w:r>
      <w:r w:rsidRPr="440DE830" w:rsidR="171C0540">
        <w:rPr>
          <w:noProof w:val="0"/>
          <w:lang w:val="tr-TR"/>
        </w:rPr>
        <w:t xml:space="preserve"> yakıt miktarı çıkarılarak dönemde tüketilen yakıt miktarı belirlenir.</w:t>
      </w:r>
    </w:p>
    <w:p w:rsidR="171C0540" w:rsidP="440DE830" w:rsidRDefault="171C0540" w14:paraId="4049F79D" w14:textId="54FEF784">
      <w:pPr>
        <w:pStyle w:val="Normal"/>
        <w:keepNext w:val="0"/>
        <w:keepLines w:val="0"/>
        <w:bidi w:val="0"/>
        <w:spacing w:before="0" w:beforeAutospacing="off" w:after="120" w:afterAutospacing="off" w:line="240" w:lineRule="auto"/>
        <w:jc w:val="both"/>
      </w:pPr>
      <w:r w:rsidRPr="440DE830" w:rsidR="171C0540">
        <w:rPr>
          <w:noProof w:val="0"/>
          <w:lang w:val="tr-TR"/>
        </w:rPr>
        <w:t>Buradaki dönem, iki liman arası seyir süresi veya limanda geçirilen süreyi ifade eder. Dönem içinde kullanılan yakıt için yakıt türü ve kükürt içeriği belirtilmelidir.</w:t>
      </w:r>
    </w:p>
    <w:p w:rsidR="171C0540" w:rsidP="440DE830" w:rsidRDefault="171C0540" w14:paraId="5F185A95" w14:textId="6A9F6C4F">
      <w:pPr>
        <w:pStyle w:val="Normal"/>
        <w:keepNext w:val="0"/>
        <w:keepLines w:val="0"/>
        <w:bidi w:val="0"/>
        <w:spacing w:before="0" w:beforeAutospacing="off" w:after="120" w:afterAutospacing="off" w:line="240" w:lineRule="auto"/>
        <w:jc w:val="both"/>
      </w:pPr>
      <w:r w:rsidRPr="440DE830" w:rsidR="171C0540">
        <w:rPr>
          <w:noProof w:val="0"/>
          <w:lang w:val="tr-TR"/>
        </w:rPr>
        <w:t>BDN'nin</w:t>
      </w:r>
      <w:r w:rsidRPr="440DE830" w:rsidR="171C0540">
        <w:rPr>
          <w:noProof w:val="0"/>
          <w:lang w:val="tr-TR"/>
        </w:rPr>
        <w:t xml:space="preserve"> gemide bulunmadığı durumlarda, özellikle sıvılaştırılmış doğal gaz (LNG) gibi kargo yakıt olarak kullanıldığında bu yöntem kullanılmamalıdır.</w:t>
      </w:r>
    </w:p>
    <w:p w:rsidR="171C0540" w:rsidP="440DE830" w:rsidRDefault="171C0540" w14:paraId="12D9A366" w14:textId="55B8C15B">
      <w:pPr>
        <w:pStyle w:val="Normal"/>
        <w:keepNext w:val="0"/>
        <w:keepLines w:val="0"/>
        <w:bidi w:val="0"/>
        <w:spacing w:before="0" w:beforeAutospacing="off" w:after="120" w:afterAutospacing="off" w:line="240" w:lineRule="auto"/>
        <w:jc w:val="both"/>
        <w:rPr>
          <w:noProof w:val="0"/>
          <w:lang w:val="tr-TR"/>
        </w:rPr>
      </w:pPr>
      <w:r w:rsidRPr="440DE830" w:rsidR="171C0540">
        <w:rPr>
          <w:noProof w:val="0"/>
          <w:lang w:val="tr-TR"/>
        </w:rPr>
        <w:t xml:space="preserve">Mevcut MARPOL Ek VI </w:t>
      </w:r>
      <w:r w:rsidRPr="440DE830" w:rsidR="74015014">
        <w:rPr>
          <w:noProof w:val="0"/>
          <w:lang w:val="tr-TR"/>
        </w:rPr>
        <w:t>regülasyonu</w:t>
      </w:r>
      <w:r w:rsidRPr="440DE830" w:rsidR="171C0540">
        <w:rPr>
          <w:noProof w:val="0"/>
          <w:lang w:val="tr-TR"/>
        </w:rPr>
        <w:t xml:space="preserve"> uyarınca, </w:t>
      </w:r>
      <w:r w:rsidRPr="440DE830" w:rsidR="171C0540">
        <w:rPr>
          <w:noProof w:val="0"/>
          <w:lang w:val="tr-TR"/>
        </w:rPr>
        <w:t>BDN</w:t>
      </w:r>
      <w:r w:rsidRPr="440DE830" w:rsidR="51402520">
        <w:rPr>
          <w:noProof w:val="0"/>
          <w:lang w:val="tr-TR"/>
        </w:rPr>
        <w:t>’in</w:t>
      </w:r>
      <w:r w:rsidRPr="440DE830" w:rsidR="171C0540">
        <w:rPr>
          <w:noProof w:val="0"/>
          <w:lang w:val="tr-TR"/>
        </w:rPr>
        <w:t xml:space="preserve"> gemide bulundurulması zorunludur ve yakıt teslimatından sonra 3 yıl süreyle gemide saklanmalı ve kolayca erişilebilir durumda olmalıdır. Gemideki yakıt tanklarının periyodik </w:t>
      </w:r>
      <w:r w:rsidRPr="440DE830" w:rsidR="289B356A">
        <w:rPr>
          <w:noProof w:val="0"/>
          <w:lang w:val="tr-TR"/>
        </w:rPr>
        <w:t>stok</w:t>
      </w:r>
      <w:r w:rsidRPr="440DE830" w:rsidR="171C0540">
        <w:rPr>
          <w:noProof w:val="0"/>
          <w:lang w:val="tr-TR"/>
        </w:rPr>
        <w:t xml:space="preserve"> sayımı, yakıt tankı ölçümlerine dayanır. Yakıt tankı ölçümünde hacmi belirlemek için her bir yakıt tankına ilişkin tank tabloları kullanılır. BDN ile ilişkili belirsizlik </w:t>
      </w:r>
      <w:r w:rsidRPr="440DE830" w:rsidR="1E4B75A9">
        <w:rPr>
          <w:noProof w:val="0"/>
          <w:lang w:val="tr-TR"/>
        </w:rPr>
        <w:t xml:space="preserve">varsa veya oluşursa bu durum </w:t>
      </w:r>
      <w:r w:rsidRPr="440DE830" w:rsidR="171C0540">
        <w:rPr>
          <w:noProof w:val="0"/>
          <w:lang w:val="tr-TR"/>
        </w:rPr>
        <w:t xml:space="preserve">izleme planında belirtilmelidir. Yakıt tankı ölçümleri otomatik sistemler, ölçüm aletleri ve </w:t>
      </w:r>
      <w:r w:rsidRPr="440DE830" w:rsidR="4973DD45">
        <w:rPr>
          <w:noProof w:val="0"/>
          <w:lang w:val="tr-TR"/>
        </w:rPr>
        <w:t>iskandil</w:t>
      </w:r>
      <w:r w:rsidRPr="440DE830" w:rsidR="171C0540">
        <w:rPr>
          <w:noProof w:val="0"/>
          <w:lang w:val="tr-TR"/>
        </w:rPr>
        <w:t xml:space="preserve"> ölçümleri gibi uygun yöntemlerle gerçekleştirilmelidir. Tank ölçümü yöntemi ve ilgili belirsizlik izleme planında belirtilmelidir.</w:t>
      </w:r>
    </w:p>
    <w:p w:rsidR="171C0540" w:rsidP="440DE830" w:rsidRDefault="171C0540" w14:paraId="7DEF2728" w14:textId="02BF3AA8">
      <w:pPr>
        <w:pStyle w:val="Normal"/>
        <w:keepNext w:val="0"/>
        <w:keepLines w:val="0"/>
        <w:bidi w:val="0"/>
        <w:spacing w:before="0" w:beforeAutospacing="off" w:after="120" w:afterAutospacing="off" w:line="240" w:lineRule="auto"/>
        <w:jc w:val="both"/>
      </w:pPr>
      <w:r w:rsidRPr="440DE830" w:rsidR="171C0540">
        <w:rPr>
          <w:noProof w:val="0"/>
          <w:lang w:val="tr-TR"/>
        </w:rPr>
        <w:t>Yakıt ikmali miktarı veya tanklarda kalan yakıt miktarı hacim birimi olarak, metreküp cinsinden belirlendiğinde, şirket hacmi kütleye dönüştürmek için gerçek yoğunluk değerlerini kullanacaktır. Şirket, gerçek yoğunluğu aşağıdaki yöntemlerden biri ile belirleyecektir:</w:t>
      </w:r>
    </w:p>
    <w:p w:rsidR="171C0540" w:rsidP="440DE830" w:rsidRDefault="171C0540" w14:paraId="61A18D1B" w14:textId="6EA6978B">
      <w:pPr>
        <w:pStyle w:val="Normal"/>
        <w:keepNext w:val="0"/>
        <w:keepLines w:val="0"/>
        <w:bidi w:val="0"/>
        <w:spacing w:before="0" w:beforeAutospacing="off" w:after="120" w:afterAutospacing="off" w:line="240" w:lineRule="auto"/>
      </w:pPr>
      <w:r w:rsidRPr="440DE830" w:rsidR="171C0540">
        <w:rPr>
          <w:noProof w:val="0"/>
          <w:lang w:val="tr-TR"/>
        </w:rPr>
        <w:t>(a) gemideki ölçüm sistemleri;</w:t>
      </w:r>
    </w:p>
    <w:p w:rsidR="171C0540" w:rsidP="440DE830" w:rsidRDefault="171C0540" w14:paraId="6284AB18" w14:textId="3B8CCACF">
      <w:pPr>
        <w:pStyle w:val="Normal"/>
        <w:keepNext w:val="0"/>
        <w:keepLines w:val="0"/>
        <w:bidi w:val="0"/>
        <w:spacing w:before="0" w:beforeAutospacing="off" w:after="120" w:afterAutospacing="off" w:line="240" w:lineRule="auto"/>
      </w:pPr>
      <w:r w:rsidRPr="440DE830" w:rsidR="171C0540">
        <w:rPr>
          <w:noProof w:val="0"/>
          <w:lang w:val="tr-TR"/>
        </w:rPr>
        <w:t>(b) yakıt ikmali sırasında yakıt tedarikçisi tarafından ölçülen ve yakıt faturasına veya BDN'ye kaydedilen yoğunluk;</w:t>
      </w:r>
    </w:p>
    <w:p w:rsidR="171C0540" w:rsidP="440DE830" w:rsidRDefault="171C0540" w14:paraId="2B115895" w14:textId="53A5CD8E">
      <w:pPr>
        <w:pStyle w:val="Normal"/>
        <w:keepNext w:val="0"/>
        <w:keepLines w:val="0"/>
        <w:bidi w:val="0"/>
        <w:spacing w:before="0" w:beforeAutospacing="off" w:after="120" w:afterAutospacing="off" w:line="240" w:lineRule="auto"/>
      </w:pPr>
      <w:r w:rsidRPr="440DE830" w:rsidR="171C0540">
        <w:rPr>
          <w:noProof w:val="0"/>
          <w:lang w:val="tr-TR"/>
        </w:rPr>
        <w:t>(c) akredite bir yakıt test laboratuvarında yapılan bir test analizinde ölçülen yoğunluk, mevcut olduğunda.</w:t>
      </w:r>
    </w:p>
    <w:p w:rsidR="171C0540" w:rsidP="440DE830" w:rsidRDefault="171C0540" w14:paraId="6BCD9FA2" w14:textId="10AF2020">
      <w:pPr>
        <w:pStyle w:val="Normal"/>
        <w:keepNext w:val="0"/>
        <w:keepLines w:val="0"/>
        <w:bidi w:val="0"/>
        <w:spacing w:before="0" w:beforeAutospacing="off" w:after="120" w:afterAutospacing="off" w:line="240" w:lineRule="auto"/>
      </w:pPr>
      <w:r w:rsidRPr="440DE830" w:rsidR="171C0540">
        <w:rPr>
          <w:noProof w:val="0"/>
          <w:lang w:val="tr-TR"/>
        </w:rPr>
        <w:t>Gerçek yoğunluk, kilogram/metreküp olarak ifade edilmeli ve belirli bir ölçüm için geçerli sıcaklıkta belirlenmelidir. Gerçek yoğunluk değerlerinin mevcut olmadığı durumlarda, doğrulayıcı tarafından değerlendirildikten sonra ilgili yakıt türü için standart bir yoğunluk faktörü uygulanacaktır.</w:t>
      </w:r>
    </w:p>
    <w:p w:rsidR="0D3A3832" w:rsidP="440DE830" w:rsidRDefault="0D3A3832" w14:paraId="0FBA4FCD" w14:textId="7B9CD1A9">
      <w:pPr>
        <w:pStyle w:val="Heading3"/>
        <w:keepNext w:val="0"/>
        <w:keepLines w:val="0"/>
        <w:bidi w:val="0"/>
        <w:rPr>
          <w:i w:val="1"/>
          <w:iCs w:val="1"/>
          <w:noProof w:val="0"/>
          <w:color w:val="A02B93" w:themeColor="accent5" w:themeTint="FF" w:themeShade="FF"/>
          <w:lang w:val="tr-TR"/>
        </w:rPr>
      </w:pPr>
      <w:r w:rsidRPr="440DE830" w:rsidR="0D3A3832">
        <w:rPr>
          <w:b w:val="1"/>
          <w:bCs w:val="1"/>
          <w:i w:val="1"/>
          <w:iCs w:val="1"/>
          <w:noProof w:val="0"/>
          <w:color w:val="A02B93" w:themeColor="accent5" w:themeTint="FF" w:themeShade="FF"/>
          <w:lang w:val="tr-TR"/>
        </w:rPr>
        <w:t>2. Yöntem B:</w:t>
      </w:r>
      <w:r w:rsidRPr="440DE830" w:rsidR="0D3A3832">
        <w:rPr>
          <w:i w:val="1"/>
          <w:iCs w:val="1"/>
          <w:noProof w:val="0"/>
          <w:color w:val="A02B93" w:themeColor="accent5" w:themeTint="FF" w:themeShade="FF"/>
          <w:lang w:val="tr-TR"/>
        </w:rPr>
        <w:t xml:space="preserve"> Gemide yakıt tankı izleme (</w:t>
      </w:r>
      <w:r w:rsidRPr="440DE830" w:rsidR="0D3A3832">
        <w:rPr>
          <w:i w:val="1"/>
          <w:iCs w:val="1"/>
          <w:noProof w:val="0"/>
          <w:color w:val="A02B93" w:themeColor="accent5" w:themeTint="FF" w:themeShade="FF"/>
          <w:lang w:val="tr-TR"/>
        </w:rPr>
        <w:t>Bunker</w:t>
      </w:r>
      <w:r w:rsidRPr="440DE830" w:rsidR="0D3A3832">
        <w:rPr>
          <w:i w:val="1"/>
          <w:iCs w:val="1"/>
          <w:noProof w:val="0"/>
          <w:color w:val="A02B93" w:themeColor="accent5" w:themeTint="FF" w:themeShade="FF"/>
          <w:lang w:val="tr-TR"/>
        </w:rPr>
        <w:t xml:space="preserve"> </w:t>
      </w:r>
      <w:r w:rsidRPr="440DE830" w:rsidR="0D3A3832">
        <w:rPr>
          <w:i w:val="1"/>
          <w:iCs w:val="1"/>
          <w:noProof w:val="0"/>
          <w:color w:val="A02B93" w:themeColor="accent5" w:themeTint="FF" w:themeShade="FF"/>
          <w:lang w:val="tr-TR"/>
        </w:rPr>
        <w:t>fuel</w:t>
      </w:r>
      <w:r w:rsidRPr="440DE830" w:rsidR="0D3A3832">
        <w:rPr>
          <w:i w:val="1"/>
          <w:iCs w:val="1"/>
          <w:noProof w:val="0"/>
          <w:color w:val="A02B93" w:themeColor="accent5" w:themeTint="FF" w:themeShade="FF"/>
          <w:lang w:val="tr-TR"/>
        </w:rPr>
        <w:t xml:space="preserve"> tank </w:t>
      </w:r>
      <w:r w:rsidRPr="440DE830" w:rsidR="0D3A3832">
        <w:rPr>
          <w:i w:val="1"/>
          <w:iCs w:val="1"/>
          <w:noProof w:val="0"/>
          <w:color w:val="A02B93" w:themeColor="accent5" w:themeTint="FF" w:themeShade="FF"/>
          <w:lang w:val="tr-TR"/>
        </w:rPr>
        <w:t>monitoring</w:t>
      </w:r>
      <w:r w:rsidRPr="440DE830" w:rsidR="0D3A3832">
        <w:rPr>
          <w:i w:val="1"/>
          <w:iCs w:val="1"/>
          <w:noProof w:val="0"/>
          <w:color w:val="A02B93" w:themeColor="accent5" w:themeTint="FF" w:themeShade="FF"/>
          <w:lang w:val="tr-TR"/>
        </w:rPr>
        <w:t xml:space="preserve"> on board)</w:t>
      </w:r>
    </w:p>
    <w:p w:rsidR="0D3A3832" w:rsidP="440DE830" w:rsidRDefault="0D3A3832" w14:paraId="57F79A6A" w14:textId="2866FEAE">
      <w:pPr>
        <w:pStyle w:val="Normal"/>
        <w:keepNext w:val="0"/>
        <w:keepLines w:val="0"/>
        <w:bidi w:val="0"/>
        <w:spacing w:before="0" w:beforeAutospacing="off" w:after="120" w:afterAutospacing="off" w:line="240" w:lineRule="auto"/>
      </w:pPr>
      <w:r w:rsidRPr="440DE830" w:rsidR="0D3A3832">
        <w:rPr>
          <w:noProof w:val="0"/>
          <w:lang w:val="tr-TR"/>
        </w:rPr>
        <w:t>Bu yöntem, gemideki tüm yakıt tanklarının ölçümlerine dayanır. Tank ölçümleri, gemi denizdeyken günlük olarak ve gemi yakıt ikmali veya yakıt boşaltımı yaptığında her seferinde yapılmalıdır.</w:t>
      </w:r>
    </w:p>
    <w:p w:rsidR="0D3A3832" w:rsidP="440DE830" w:rsidRDefault="0D3A3832" w14:paraId="6A66FA89" w14:textId="675ECF71">
      <w:pPr>
        <w:pStyle w:val="Normal"/>
        <w:keepNext w:val="0"/>
        <w:keepLines w:val="0"/>
        <w:bidi w:val="0"/>
        <w:spacing w:before="0" w:beforeAutospacing="off" w:after="120" w:afterAutospacing="off" w:line="240" w:lineRule="auto"/>
      </w:pPr>
      <w:r w:rsidRPr="440DE830" w:rsidR="0D3A3832">
        <w:rPr>
          <w:noProof w:val="0"/>
          <w:lang w:val="tr-TR"/>
        </w:rPr>
        <w:t xml:space="preserve">İki ölçüm arasındaki yakıt tankı seviyesindeki </w:t>
      </w:r>
      <w:r w:rsidRPr="440DE830" w:rsidR="0B10B8C3">
        <w:rPr>
          <w:noProof w:val="0"/>
          <w:lang w:val="tr-TR"/>
        </w:rPr>
        <w:t>toplam</w:t>
      </w:r>
      <w:r w:rsidRPr="440DE830" w:rsidR="0D3A3832">
        <w:rPr>
          <w:noProof w:val="0"/>
          <w:lang w:val="tr-TR"/>
        </w:rPr>
        <w:t xml:space="preserve"> değişimler, dönemde tüketilen yakıt miktarını oluşturur.</w:t>
      </w:r>
    </w:p>
    <w:p w:rsidR="0D3A3832" w:rsidP="440DE830" w:rsidRDefault="0D3A3832" w14:paraId="53EF63FC" w14:textId="36875F48">
      <w:pPr>
        <w:pStyle w:val="Normal"/>
        <w:keepNext w:val="0"/>
        <w:keepLines w:val="0"/>
        <w:bidi w:val="0"/>
        <w:spacing w:before="0" w:beforeAutospacing="off" w:after="120" w:afterAutospacing="off" w:line="240" w:lineRule="auto"/>
      </w:pPr>
      <w:r w:rsidRPr="440DE830" w:rsidR="0D3A3832">
        <w:rPr>
          <w:noProof w:val="0"/>
          <w:lang w:val="tr-TR"/>
        </w:rPr>
        <w:t>Buradaki dönem, iki liman arası seyir süresi veya limanda geçirilen süreyi ifade eder. Dönem içinde kullanılan yakıt için yakıt türü ve kükürt içeriği belirtilmelidir.</w:t>
      </w:r>
    </w:p>
    <w:p w:rsidR="0D3A3832" w:rsidP="440DE830" w:rsidRDefault="0D3A3832" w14:paraId="27F7A79A" w14:textId="52FB76FB">
      <w:pPr>
        <w:pStyle w:val="Normal"/>
        <w:keepNext w:val="0"/>
        <w:keepLines w:val="0"/>
        <w:bidi w:val="0"/>
        <w:spacing w:before="0" w:beforeAutospacing="off" w:after="120" w:afterAutospacing="off" w:line="240" w:lineRule="auto"/>
        <w:rPr>
          <w:noProof w:val="0"/>
          <w:lang w:val="tr-TR"/>
        </w:rPr>
      </w:pPr>
      <w:r w:rsidRPr="440DE830" w:rsidR="0D3A3832">
        <w:rPr>
          <w:noProof w:val="0"/>
          <w:lang w:val="tr-TR"/>
        </w:rPr>
        <w:t xml:space="preserve">Yakıt tankı ölçümleri otomatik sistemler, ölçüm aletleri ve </w:t>
      </w:r>
      <w:r w:rsidRPr="440DE830" w:rsidR="2FCD4DCC">
        <w:rPr>
          <w:noProof w:val="0"/>
          <w:lang w:val="tr-TR"/>
        </w:rPr>
        <w:t xml:space="preserve">iskandil </w:t>
      </w:r>
      <w:r w:rsidRPr="440DE830" w:rsidR="0D3A3832">
        <w:rPr>
          <w:noProof w:val="0"/>
          <w:lang w:val="tr-TR"/>
        </w:rPr>
        <w:t>gibi uygun yöntemlerle gerçekleştirilmelidir. Tank ölçüm yöntemi ve ilgili belirsizlik izleme planında belirtilmelidir.</w:t>
      </w:r>
    </w:p>
    <w:p w:rsidR="0D3A3832" w:rsidP="440DE830" w:rsidRDefault="0D3A3832" w14:paraId="6F6EC194" w14:textId="16479C4D">
      <w:pPr>
        <w:pStyle w:val="Normal"/>
        <w:keepNext w:val="0"/>
        <w:keepLines w:val="0"/>
        <w:bidi w:val="0"/>
        <w:spacing w:before="0" w:beforeAutospacing="off" w:after="120" w:afterAutospacing="off" w:line="240" w:lineRule="auto"/>
      </w:pPr>
      <w:r w:rsidRPr="440DE830" w:rsidR="0D3A3832">
        <w:rPr>
          <w:noProof w:val="0"/>
          <w:lang w:val="tr-TR"/>
        </w:rPr>
        <w:t>Yakıt ikmali miktarı veya tanklarda kalan yakıt miktarı hacim birimi olarak, metreküp cinsinden belirlendiğinde, şirket hacmi kütleye dönüştürmek için gerçek yoğunluk değerlerini kullanacaktır. Şirket, gerçek yoğunluğu aşağıdaki yöntemlerden biri ile belirleyecektir:</w:t>
      </w:r>
    </w:p>
    <w:p w:rsidR="0D3A3832" w:rsidP="440DE830" w:rsidRDefault="0D3A3832" w14:paraId="4F87CF5E" w14:textId="4BB6F469">
      <w:pPr>
        <w:pStyle w:val="Normal"/>
        <w:keepNext w:val="0"/>
        <w:keepLines w:val="0"/>
        <w:bidi w:val="0"/>
        <w:spacing w:before="0" w:beforeAutospacing="off" w:after="120" w:afterAutospacing="off" w:line="240" w:lineRule="auto"/>
      </w:pPr>
      <w:r w:rsidRPr="440DE830" w:rsidR="0D3A3832">
        <w:rPr>
          <w:noProof w:val="0"/>
          <w:lang w:val="tr-TR"/>
        </w:rPr>
        <w:t>(a) gemideki ölçüm sistemleri;</w:t>
      </w:r>
    </w:p>
    <w:p w:rsidR="0D3A3832" w:rsidP="440DE830" w:rsidRDefault="0D3A3832" w14:paraId="36D3923C" w14:textId="0A68578E">
      <w:pPr>
        <w:pStyle w:val="Normal"/>
        <w:keepNext w:val="0"/>
        <w:keepLines w:val="0"/>
        <w:bidi w:val="0"/>
        <w:spacing w:before="0" w:beforeAutospacing="off" w:after="120" w:afterAutospacing="off" w:line="240" w:lineRule="auto"/>
      </w:pPr>
      <w:r w:rsidRPr="440DE830" w:rsidR="0D3A3832">
        <w:rPr>
          <w:noProof w:val="0"/>
          <w:lang w:val="tr-TR"/>
        </w:rPr>
        <w:t>(b) yakıt ikmali sırasında yakıt tedarikçisi tarafından ölçülen ve yakıt faturasına veya BDN'ye kaydedilen yoğunluk;</w:t>
      </w:r>
    </w:p>
    <w:p w:rsidR="0D3A3832" w:rsidP="440DE830" w:rsidRDefault="0D3A3832" w14:paraId="4CE72389" w14:textId="64C5917B">
      <w:pPr>
        <w:pStyle w:val="Normal"/>
        <w:keepNext w:val="0"/>
        <w:keepLines w:val="0"/>
        <w:bidi w:val="0"/>
        <w:spacing w:before="0" w:beforeAutospacing="off" w:after="120" w:afterAutospacing="off" w:line="240" w:lineRule="auto"/>
      </w:pPr>
      <w:r w:rsidRPr="440DE830" w:rsidR="0D3A3832">
        <w:rPr>
          <w:noProof w:val="0"/>
          <w:lang w:val="tr-TR"/>
        </w:rPr>
        <w:t>(c) akredite bir yakıt test laboratuvarında yapılan bir test analizinde ölçülen yoğunluk, mevcut olduğunda.</w:t>
      </w:r>
    </w:p>
    <w:p w:rsidR="0D3A3832" w:rsidP="440DE830" w:rsidRDefault="0D3A3832" w14:paraId="3D3B0B6D" w14:textId="43D21528">
      <w:pPr>
        <w:pStyle w:val="Normal"/>
        <w:keepNext w:val="0"/>
        <w:keepLines w:val="0"/>
        <w:bidi w:val="0"/>
        <w:spacing w:before="0" w:beforeAutospacing="off" w:after="120" w:afterAutospacing="off" w:line="240" w:lineRule="auto"/>
      </w:pPr>
      <w:r w:rsidRPr="440DE830" w:rsidR="0D3A3832">
        <w:rPr>
          <w:noProof w:val="0"/>
          <w:lang w:val="tr-TR"/>
        </w:rPr>
        <w:t>Gerçek yoğunluk, kilogram/metreküp olarak ifade edilmeli ve belirli bir ölçüm için geçerli sıcaklıkta belirlenmelidir. Gerçek yoğunluk değerlerinin mevcut olmadığı durumlarda, doğrulayıcı tarafından değerlendirildikten sonra ilgili yakıt türü için standart bir yoğunluk faktörü uygulanacaktır.</w:t>
      </w:r>
    </w:p>
    <w:p w:rsidR="683A6D52" w:rsidP="440DE830" w:rsidRDefault="683A6D52" w14:paraId="556F0EF5" w14:textId="0196067F">
      <w:pPr>
        <w:pStyle w:val="Heading3"/>
        <w:keepNext w:val="0"/>
        <w:keepLines w:val="0"/>
        <w:bidi w:val="0"/>
        <w:rPr>
          <w:i w:val="1"/>
          <w:iCs w:val="1"/>
          <w:noProof w:val="0"/>
          <w:color w:val="A02B93" w:themeColor="accent5" w:themeTint="FF" w:themeShade="FF"/>
          <w:lang w:val="tr-TR"/>
        </w:rPr>
      </w:pPr>
      <w:r w:rsidRPr="440DE830" w:rsidR="683A6D52">
        <w:rPr>
          <w:b w:val="1"/>
          <w:bCs w:val="1"/>
          <w:i w:val="1"/>
          <w:iCs w:val="1"/>
          <w:noProof w:val="0"/>
          <w:color w:val="A02B93" w:themeColor="accent5" w:themeTint="FF" w:themeShade="FF"/>
          <w:lang w:val="tr-TR"/>
        </w:rPr>
        <w:t xml:space="preserve">3. Yöntem C: </w:t>
      </w:r>
      <w:r w:rsidRPr="440DE830" w:rsidR="129FE52B">
        <w:rPr>
          <w:i w:val="1"/>
          <w:iCs w:val="1"/>
          <w:noProof w:val="0"/>
          <w:color w:val="A02B93" w:themeColor="accent5" w:themeTint="FF" w:themeShade="FF"/>
          <w:lang w:val="tr-TR"/>
        </w:rPr>
        <w:t xml:space="preserve">Gemideki belirli yanma süreçlerinde (örneğin motor, kazan, jeneratör gibi emisyon yaratan ekipmanlarda) harcanan yakıt miktarını ölçmek için </w:t>
      </w:r>
      <w:r w:rsidRPr="440DE830" w:rsidR="129FE52B">
        <w:rPr>
          <w:i w:val="1"/>
          <w:iCs w:val="1"/>
          <w:noProof w:val="0"/>
          <w:color w:val="A02B93" w:themeColor="accent5" w:themeTint="FF" w:themeShade="FF"/>
          <w:lang w:val="tr-TR"/>
        </w:rPr>
        <w:t>flowmetre</w:t>
      </w:r>
      <w:r w:rsidRPr="440DE830" w:rsidR="129FE52B">
        <w:rPr>
          <w:i w:val="1"/>
          <w:iCs w:val="1"/>
          <w:noProof w:val="0"/>
          <w:color w:val="A02B93" w:themeColor="accent5" w:themeTint="FF" w:themeShade="FF"/>
          <w:lang w:val="tr-TR"/>
        </w:rPr>
        <w:t xml:space="preserve"> kullanımı</w:t>
      </w:r>
    </w:p>
    <w:p w:rsidR="40AA9DDE" w:rsidP="440DE830" w:rsidRDefault="40AA9DDE" w14:paraId="48D43BA1" w14:textId="1A6F2EE6">
      <w:pPr>
        <w:pStyle w:val="Normal"/>
        <w:keepNext w:val="0"/>
        <w:keepLines w:val="0"/>
        <w:rPr>
          <w:noProof w:val="0"/>
          <w:lang w:val="tr-TR"/>
        </w:rPr>
      </w:pPr>
      <w:r w:rsidRPr="440DE830" w:rsidR="40AA9DDE">
        <w:rPr>
          <w:noProof w:val="0"/>
          <w:lang w:val="tr-TR"/>
        </w:rPr>
        <w:t xml:space="preserve">Bu yöntem, gemideki yakıt akış ölçümlerine dayanır. İlgili sera gazı emisyon kaynaklarına bağlı tüm </w:t>
      </w:r>
      <w:r w:rsidRPr="440DE830" w:rsidR="2E58BE92">
        <w:rPr>
          <w:noProof w:val="0"/>
          <w:lang w:val="tr-TR"/>
        </w:rPr>
        <w:t>flow metre</w:t>
      </w:r>
      <w:r w:rsidRPr="440DE830" w:rsidR="40AA9DDE">
        <w:rPr>
          <w:noProof w:val="0"/>
          <w:lang w:val="tr-TR"/>
        </w:rPr>
        <w:t>lerden alınan veriler, belirli bir dönem için tüm yakıt tüketimini belirlemek üzere birleştirilecektir.</w:t>
      </w:r>
    </w:p>
    <w:p w:rsidR="40AA9DDE" w:rsidP="440DE830" w:rsidRDefault="40AA9DDE" w14:paraId="6BCF8BA4" w14:textId="554BAA6C">
      <w:pPr>
        <w:pStyle w:val="Normal"/>
        <w:keepNext w:val="0"/>
        <w:keepLines w:val="0"/>
      </w:pPr>
      <w:r w:rsidRPr="440DE830" w:rsidR="40AA9DDE">
        <w:rPr>
          <w:noProof w:val="0"/>
          <w:lang w:val="tr-TR"/>
        </w:rPr>
        <w:t>Buradaki dönem, iki liman arası seyir süresi veya limanda geçirilen süreyi ifade eder. Dönem içinde kullanılan yakıt için yakıt türü ve kükürt içeriği izlenmelidir.</w:t>
      </w:r>
    </w:p>
    <w:p w:rsidR="40AA9DDE" w:rsidP="440DE830" w:rsidRDefault="40AA9DDE" w14:paraId="5CECF0D2" w14:textId="684FD391">
      <w:pPr>
        <w:pStyle w:val="Normal"/>
        <w:keepNext w:val="0"/>
        <w:keepLines w:val="0"/>
      </w:pPr>
      <w:r w:rsidRPr="440DE830" w:rsidR="40AA9DDE">
        <w:rPr>
          <w:noProof w:val="0"/>
          <w:lang w:val="tr-TR"/>
        </w:rPr>
        <w:t xml:space="preserve">Uygulanan kalibrasyon yöntemleri ve kullanılan </w:t>
      </w:r>
      <w:r w:rsidRPr="440DE830" w:rsidR="070FDBFC">
        <w:rPr>
          <w:noProof w:val="0"/>
          <w:lang w:val="tr-TR"/>
        </w:rPr>
        <w:t>flow</w:t>
      </w:r>
      <w:r w:rsidRPr="440DE830" w:rsidR="070FDBFC">
        <w:rPr>
          <w:noProof w:val="0"/>
          <w:lang w:val="tr-TR"/>
        </w:rPr>
        <w:t xml:space="preserve"> metre</w:t>
      </w:r>
      <w:r w:rsidRPr="440DE830" w:rsidR="40AA9DDE">
        <w:rPr>
          <w:noProof w:val="0"/>
          <w:lang w:val="tr-TR"/>
        </w:rPr>
        <w:t>lerin belirsizlikleri izleme planında belirtilmelidir.</w:t>
      </w:r>
    </w:p>
    <w:p w:rsidR="40AA9DDE" w:rsidP="440DE830" w:rsidRDefault="40AA9DDE" w14:paraId="750E89B0" w14:textId="11ABF3D6">
      <w:pPr>
        <w:pStyle w:val="Normal"/>
        <w:keepNext w:val="0"/>
        <w:keepLines w:val="0"/>
      </w:pPr>
      <w:r w:rsidRPr="440DE830" w:rsidR="40AA9DDE">
        <w:rPr>
          <w:noProof w:val="0"/>
          <w:lang w:val="tr-TR"/>
        </w:rPr>
        <w:t>Tüketilen yakıt miktarı hacim birimi olarak, metreküp cinsinden belirlendiğinde, şirket hacmi kütleye dönüştürmek için gerçek yoğunluk değerlerini kullanacaktır. Şirket, gerçek yoğunluğu aşağıdaki yöntemlerden biri ile belirleyecektir:</w:t>
      </w:r>
    </w:p>
    <w:p w:rsidR="40AA9DDE" w:rsidP="440DE830" w:rsidRDefault="40AA9DDE" w14:paraId="087B0470" w14:textId="51D0F919">
      <w:pPr>
        <w:pStyle w:val="Normal"/>
        <w:keepNext w:val="0"/>
        <w:keepLines w:val="0"/>
      </w:pPr>
      <w:r w:rsidRPr="440DE830" w:rsidR="40AA9DDE">
        <w:rPr>
          <w:noProof w:val="0"/>
          <w:lang w:val="tr-TR"/>
        </w:rPr>
        <w:t>(a) gemideki ölçüm sistemleri;</w:t>
      </w:r>
    </w:p>
    <w:p w:rsidR="40AA9DDE" w:rsidP="440DE830" w:rsidRDefault="40AA9DDE" w14:paraId="36EF4897" w14:textId="5E1F57C0">
      <w:pPr>
        <w:pStyle w:val="Normal"/>
        <w:keepNext w:val="0"/>
        <w:keepLines w:val="0"/>
      </w:pPr>
      <w:r w:rsidRPr="440DE830" w:rsidR="40AA9DDE">
        <w:rPr>
          <w:noProof w:val="0"/>
          <w:lang w:val="tr-TR"/>
        </w:rPr>
        <w:t>(b) yakıt ikmali sırasında yakıt tedarikçisi tarafından ölçülen ve yakıt faturasına veya BDN'ye kaydedilen yoğunluk;</w:t>
      </w:r>
    </w:p>
    <w:p w:rsidR="40AA9DDE" w:rsidP="440DE830" w:rsidRDefault="40AA9DDE" w14:paraId="2E910E05" w14:textId="23C0FC12">
      <w:pPr>
        <w:pStyle w:val="Normal"/>
        <w:keepNext w:val="0"/>
        <w:keepLines w:val="0"/>
      </w:pPr>
      <w:r w:rsidRPr="440DE830" w:rsidR="40AA9DDE">
        <w:rPr>
          <w:noProof w:val="0"/>
          <w:lang w:val="tr-TR"/>
        </w:rPr>
        <w:t>(c) akredite bir yakıt test laboratuvarında yapılan bir test analizinde ölçülen yoğunluk, mevcut olduğunda.</w:t>
      </w:r>
    </w:p>
    <w:p w:rsidR="40AA9DDE" w:rsidP="440DE830" w:rsidRDefault="40AA9DDE" w14:paraId="327802E7" w14:textId="7A5063FC">
      <w:pPr>
        <w:pStyle w:val="Normal"/>
        <w:keepNext w:val="0"/>
        <w:keepLines w:val="0"/>
      </w:pPr>
      <w:r w:rsidRPr="440DE830" w:rsidR="40AA9DDE">
        <w:rPr>
          <w:noProof w:val="0"/>
          <w:lang w:val="tr-TR"/>
        </w:rPr>
        <w:t>Gerçek yoğunluk, kilogram/metreküp olarak ifade edilmeli ve belirli bir ölçüm için geçerli sıcaklıkta belirlenmelidir. Gerçek yoğunluk değerlerinin mevcut olmadığı durumlarda, doğrulayıcı tarafından değerlendirildikten sonra ilgili yakıt türü için standart bir yoğunluk faktörü uygulanacaktır.</w:t>
      </w:r>
    </w:p>
    <w:p w:rsidR="56A61A5D" w:rsidP="440DE830" w:rsidRDefault="56A61A5D" w14:paraId="59D00CBD" w14:textId="1E9E8CD0">
      <w:pPr>
        <w:pStyle w:val="Heading3"/>
        <w:keepNext w:val="0"/>
        <w:keepLines w:val="0"/>
        <w:rPr>
          <w:i w:val="1"/>
          <w:iCs w:val="1"/>
          <w:noProof w:val="0"/>
          <w:color w:val="A02B93" w:themeColor="accent5" w:themeTint="FF" w:themeShade="FF"/>
          <w:lang w:val="tr-TR"/>
        </w:rPr>
      </w:pPr>
      <w:r w:rsidRPr="440DE830" w:rsidR="56A61A5D">
        <w:rPr>
          <w:b w:val="1"/>
          <w:bCs w:val="1"/>
          <w:i w:val="1"/>
          <w:iCs w:val="1"/>
          <w:noProof w:val="0"/>
          <w:color w:val="A02B93" w:themeColor="accent5" w:themeTint="FF" w:themeShade="FF"/>
          <w:lang w:val="tr-TR"/>
        </w:rPr>
        <w:t xml:space="preserve">4. Yöntem D: </w:t>
      </w:r>
      <w:r w:rsidRPr="440DE830" w:rsidR="56A61A5D">
        <w:rPr>
          <w:i w:val="1"/>
          <w:iCs w:val="1"/>
          <w:noProof w:val="0"/>
          <w:color w:val="A02B93" w:themeColor="accent5" w:themeTint="FF" w:themeShade="FF"/>
          <w:lang w:val="tr-TR"/>
        </w:rPr>
        <w:t>Doğrudan sera gazı emisyonu ölçümü</w:t>
      </w:r>
    </w:p>
    <w:p w:rsidR="56A61A5D" w:rsidP="440DE830" w:rsidRDefault="56A61A5D" w14:paraId="0B58FBAF" w14:textId="1DB1C3E1">
      <w:pPr>
        <w:pStyle w:val="Normal"/>
        <w:keepNext w:val="0"/>
        <w:keepLines w:val="0"/>
      </w:pPr>
      <w:r w:rsidRPr="440DE830" w:rsidR="56A61A5D">
        <w:rPr>
          <w:noProof w:val="0"/>
          <w:lang w:val="tr-TR"/>
        </w:rPr>
        <w:t>Doğrudan sera gazı emisyon ölçümleri, seferler ve bir Üye Devletin yetki alanındaki limanlarda meydana gelen sera gazı emisyonları için kullanılabilir. CO₂ raporlamasının gemideki tüm emisyon kaynaklarına uygulanan bu yöntemle yapıldığı gemilerde, yakıt tüketimi</w:t>
      </w:r>
      <w:r w:rsidRPr="440DE830" w:rsidR="58430F86">
        <w:rPr>
          <w:noProof w:val="0"/>
          <w:lang w:val="tr-TR"/>
        </w:rPr>
        <w:t>;</w:t>
      </w:r>
      <w:r w:rsidRPr="440DE830" w:rsidR="56A61A5D">
        <w:rPr>
          <w:noProof w:val="0"/>
          <w:lang w:val="tr-TR"/>
        </w:rPr>
        <w:t xml:space="preserve"> ölçül</w:t>
      </w:r>
      <w:r w:rsidRPr="440DE830" w:rsidR="78F670C6">
        <w:rPr>
          <w:noProof w:val="0"/>
          <w:lang w:val="tr-TR"/>
        </w:rPr>
        <w:t>müş olan</w:t>
      </w:r>
      <w:r w:rsidRPr="440DE830" w:rsidR="56A61A5D">
        <w:rPr>
          <w:noProof w:val="0"/>
          <w:lang w:val="tr-TR"/>
        </w:rPr>
        <w:t xml:space="preserve"> CO₂ emisyonları ve ilgili yakıtların ve emisyon kaynaklarının geçerli emisyon faktörleri kullanılarak hesaplanır.</w:t>
      </w:r>
    </w:p>
    <w:p w:rsidR="56A61A5D" w:rsidP="440DE830" w:rsidRDefault="56A61A5D" w14:paraId="3A620341" w14:textId="72DFD894">
      <w:pPr>
        <w:pStyle w:val="Normal"/>
        <w:keepNext w:val="0"/>
        <w:keepLines w:val="0"/>
      </w:pPr>
      <w:r w:rsidRPr="440DE830" w:rsidR="56A61A5D">
        <w:rPr>
          <w:noProof w:val="0"/>
          <w:lang w:val="tr-TR"/>
        </w:rPr>
        <w:t xml:space="preserve">Bu yöntem, </w:t>
      </w:r>
      <w:r w:rsidRPr="440DE830" w:rsidR="58220B4C">
        <w:rPr>
          <w:noProof w:val="0"/>
          <w:lang w:val="tr-TR"/>
        </w:rPr>
        <w:t xml:space="preserve">bacalardaki </w:t>
      </w:r>
      <w:r w:rsidRPr="440DE830" w:rsidR="56A61A5D">
        <w:rPr>
          <w:noProof w:val="0"/>
          <w:lang w:val="tr-TR"/>
        </w:rPr>
        <w:t>egzoz</w:t>
      </w:r>
      <w:r w:rsidRPr="440DE830" w:rsidR="7B012EE9">
        <w:rPr>
          <w:noProof w:val="0"/>
          <w:lang w:val="tr-TR"/>
        </w:rPr>
        <w:t xml:space="preserve">dan çıkan </w:t>
      </w:r>
      <w:r w:rsidRPr="440DE830" w:rsidR="56A61A5D">
        <w:rPr>
          <w:noProof w:val="0"/>
          <w:lang w:val="tr-TR"/>
        </w:rPr>
        <w:t>sera gazı emisyon akışlarının, egzoz gazındaki sera gazı konsantrasyonları</w:t>
      </w:r>
      <w:r w:rsidRPr="440DE830" w:rsidR="5D3D3890">
        <w:rPr>
          <w:noProof w:val="0"/>
          <w:lang w:val="tr-TR"/>
        </w:rPr>
        <w:t xml:space="preserve"> ile</w:t>
      </w:r>
      <w:r w:rsidRPr="440DE830" w:rsidR="56A61A5D">
        <w:rPr>
          <w:noProof w:val="0"/>
          <w:lang w:val="tr-TR"/>
        </w:rPr>
        <w:t xml:space="preserve"> çarpılmasıyla belirlenmesine dayanır.</w:t>
      </w:r>
    </w:p>
    <w:p w:rsidR="56A61A5D" w:rsidP="440DE830" w:rsidRDefault="56A61A5D" w14:paraId="2F1FF02F" w14:textId="37C9BDA1">
      <w:pPr>
        <w:pStyle w:val="Normal"/>
        <w:keepNext w:val="0"/>
        <w:keepLines w:val="0"/>
      </w:pPr>
      <w:r w:rsidRPr="440DE830" w:rsidR="56A61A5D">
        <w:rPr>
          <w:noProof w:val="0"/>
          <w:lang w:val="tr-TR"/>
        </w:rPr>
        <w:t>Bir sera gazının emisyonlarını belirlemek için bu yöntemin uygulanması, şirketlerin bu Bölümde açıklanan diğer yöntemleri herhangi bir başka sera gazı için kullanmasını engellemez.</w:t>
      </w:r>
    </w:p>
    <w:p w:rsidR="56A61A5D" w:rsidP="440DE830" w:rsidRDefault="56A61A5D" w14:paraId="01283F29" w14:textId="6E10BE26">
      <w:pPr>
        <w:pStyle w:val="Normal"/>
        <w:keepNext w:val="0"/>
        <w:keepLines w:val="0"/>
      </w:pPr>
      <w:r w:rsidRPr="440DE830" w:rsidR="56A61A5D">
        <w:rPr>
          <w:noProof w:val="0"/>
          <w:lang w:val="tr-TR"/>
        </w:rPr>
        <w:t>Uygulanan kalibrasyon yöntemleri ve kullanılan cihazlarla ilişkili belirsizlikler izleme planında belirtilmelidir.</w:t>
      </w:r>
    </w:p>
    <w:p w:rsidR="1B515AD5" w:rsidP="00797BA3" w:rsidRDefault="1B515AD5" w14:paraId="7B47CB77" w14:textId="6C9441E5">
      <w:pPr>
        <w:pStyle w:val="Balk2"/>
        <w:keepNext w:val="0"/>
        <w:keepLines w:val="0"/>
        <w:widowControl w:val="0"/>
        <w:snapToGrid w:val="0"/>
        <w:spacing w:before="0" w:after="120" w:line="240" w:lineRule="auto"/>
      </w:pPr>
      <w:r w:rsidRPr="7A22FE93">
        <w:rPr>
          <w:b/>
          <w:bCs/>
          <w:i/>
          <w:iCs/>
          <w:sz w:val="32"/>
          <w:szCs w:val="32"/>
        </w:rPr>
        <w:t>Diğer Hususlar</w:t>
      </w:r>
    </w:p>
    <w:p w:rsidR="1B515AD5" w:rsidP="440DE830" w:rsidRDefault="1B515AD5" w14:paraId="378D7980" w14:textId="52663699">
      <w:pPr>
        <w:pStyle w:val="ListeParagraf"/>
        <w:widowControl w:val="0"/>
        <w:numPr>
          <w:ilvl w:val="0"/>
          <w:numId w:val="1"/>
        </w:numPr>
        <w:snapToGrid w:val="0"/>
        <w:spacing w:after="120" w:line="240" w:lineRule="auto"/>
        <w:jc w:val="both"/>
        <w:rPr/>
      </w:pPr>
      <w:r w:rsidR="1B515AD5">
        <w:rPr/>
        <w:t xml:space="preserve">Bu rehberden sonra emisyon verilerinin toplanması ile ilgili </w:t>
      </w:r>
      <w:r w:rsidR="6440A4CF">
        <w:rPr/>
        <w:t>3</w:t>
      </w:r>
      <w:r w:rsidR="1B515AD5">
        <w:rPr/>
        <w:t xml:space="preserve">. bir rehber </w:t>
      </w:r>
      <w:r w:rsidR="00B405AF">
        <w:rPr/>
        <w:t xml:space="preserve">yayınlayacağız </w:t>
      </w:r>
      <w:r w:rsidR="1B515AD5">
        <w:rPr/>
        <w:t>ve sonrasında</w:t>
      </w:r>
      <w:r w:rsidR="4453D97E">
        <w:rPr/>
        <w:t xml:space="preserve"> ihtiyaç duyulması halinde bu rehber dizimizi devam ettireceğiz.</w:t>
      </w:r>
    </w:p>
    <w:p w:rsidR="4453D97E" w:rsidP="00920994" w:rsidRDefault="4453D97E" w14:paraId="37EAE645" w14:textId="74C11CDF">
      <w:pPr>
        <w:pStyle w:val="ListeParagraf"/>
        <w:widowControl w:val="0"/>
        <w:numPr>
          <w:ilvl w:val="0"/>
          <w:numId w:val="1"/>
        </w:numPr>
        <w:snapToGrid w:val="0"/>
        <w:spacing w:after="120" w:line="240" w:lineRule="auto"/>
        <w:contextualSpacing w:val="0"/>
        <w:jc w:val="both"/>
      </w:pPr>
      <w:r>
        <w:t xml:space="preserve">Türk Armatörler Birliğinin üye armatörlerinin şirket personelinden ilgili </w:t>
      </w:r>
      <w:r w:rsidR="10F2E9E6">
        <w:t xml:space="preserve">olanlarından kurulmuş bir whatsapp grubu bulunmaktadır. 5000GT </w:t>
      </w:r>
      <w:r w:rsidR="00B405AF">
        <w:t xml:space="preserve">altında </w:t>
      </w:r>
      <w:r w:rsidR="10F2E9E6">
        <w:t>gemisi bulunan üyelerimizin ilgili personeli de bu whatsapp grubuna katılarak ortak paylaşımlarda bulunabilir</w:t>
      </w:r>
      <w:r w:rsidR="00FE08A0">
        <w:t>ler.</w:t>
      </w:r>
    </w:p>
    <w:p w:rsidR="00B405AF" w:rsidP="00920994" w:rsidRDefault="00B405AF" w14:paraId="7DA6872D" w14:textId="05B9E544">
      <w:pPr>
        <w:pStyle w:val="ListeParagraf"/>
        <w:widowControl w:val="0"/>
        <w:numPr>
          <w:ilvl w:val="0"/>
          <w:numId w:val="1"/>
        </w:numPr>
        <w:snapToGrid w:val="0"/>
        <w:spacing w:after="120" w:line="240" w:lineRule="auto"/>
        <w:contextualSpacing w:val="0"/>
        <w:jc w:val="both"/>
      </w:pPr>
      <w:r>
        <w:t>Soruları olan üyelerimiz</w:t>
      </w:r>
      <w:r w:rsidR="00920994">
        <w:t xml:space="preserve"> </w:t>
      </w:r>
      <w:hyperlink w:history="1" r:id="rId11">
        <w:r w:rsidRPr="0059177C" w:rsidR="00920994">
          <w:rPr>
            <w:rStyle w:val="Kpr"/>
          </w:rPr>
          <w:t>info@armatorlerbirligi.org.tr</w:t>
        </w:r>
      </w:hyperlink>
      <w:r w:rsidR="00920994">
        <w:t xml:space="preserve"> adresinden sorularını bize gönderebilirler.</w:t>
      </w:r>
    </w:p>
    <w:p w:rsidR="7A22FE93" w:rsidP="00797BA3" w:rsidRDefault="7A22FE93" w14:paraId="4CFB6FB9" w14:textId="66B5E9FD">
      <w:pPr>
        <w:widowControl w:val="0"/>
        <w:snapToGrid w:val="0"/>
        <w:spacing w:after="120" w:line="240" w:lineRule="auto"/>
      </w:pPr>
    </w:p>
    <w:p w:rsidR="7A22FE93" w:rsidP="00797BA3" w:rsidRDefault="7A22FE93" w14:paraId="7237A363" w14:textId="109F7C36">
      <w:pPr>
        <w:widowControl w:val="0"/>
        <w:snapToGrid w:val="0"/>
        <w:spacing w:after="120" w:line="240" w:lineRule="auto"/>
      </w:pPr>
    </w:p>
    <w:p w:rsidR="43D4EE2C" w:rsidP="00797BA3" w:rsidRDefault="43D4EE2C" w14:paraId="074D03E3" w14:textId="07257659">
      <w:pPr>
        <w:widowControl w:val="0"/>
        <w:snapToGrid w:val="0"/>
        <w:spacing w:after="120" w:line="240" w:lineRule="auto"/>
      </w:pPr>
    </w:p>
    <w:sectPr w:rsidR="43D4EE2C">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xmlns:oel="http://schemas.microsoft.com/office/2019/extlst">
  <int2:observations>
    <int2:bookmark int2:bookmarkName="_Int_WGOMtAFd" int2:invalidationBookmarkName="" int2:hashCode="wXR6g6c/WGODqo" int2:id="eBDl2y7g">
      <int2:state int2:value="Rejected" int2:type="AugLoop_Text_Critique"/>
    </int2:bookmark>
    <int2:bookmark int2:bookmarkName="_Int_tHTH4wOn" int2:invalidationBookmarkName="" int2:hashCode="wXR6g6c/WGODqo" int2:id="QdvQZ47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C099D9"/>
    <w:multiLevelType w:val="hybridMultilevel"/>
    <w:tmpl w:val="54280332"/>
    <w:lvl w:ilvl="0" w:tplc="DAF44DF0">
      <w:start w:val="1"/>
      <w:numFmt w:val="decimal"/>
      <w:lvlText w:val="%1."/>
      <w:lvlJc w:val="left"/>
      <w:pPr>
        <w:ind w:left="720" w:hanging="360"/>
      </w:pPr>
    </w:lvl>
    <w:lvl w:ilvl="1" w:tplc="87ECEA3C">
      <w:start w:val="1"/>
      <w:numFmt w:val="lowerLetter"/>
      <w:lvlText w:val="%2."/>
      <w:lvlJc w:val="left"/>
      <w:pPr>
        <w:ind w:left="1440" w:hanging="360"/>
      </w:pPr>
    </w:lvl>
    <w:lvl w:ilvl="2" w:tplc="C7E64EC8">
      <w:start w:val="1"/>
      <w:numFmt w:val="lowerRoman"/>
      <w:lvlText w:val="%3."/>
      <w:lvlJc w:val="right"/>
      <w:pPr>
        <w:ind w:left="2160" w:hanging="180"/>
      </w:pPr>
    </w:lvl>
    <w:lvl w:ilvl="3" w:tplc="C03AEC6A">
      <w:start w:val="1"/>
      <w:numFmt w:val="decimal"/>
      <w:lvlText w:val="%4."/>
      <w:lvlJc w:val="left"/>
      <w:pPr>
        <w:ind w:left="2880" w:hanging="360"/>
      </w:pPr>
    </w:lvl>
    <w:lvl w:ilvl="4" w:tplc="404E487A">
      <w:start w:val="1"/>
      <w:numFmt w:val="lowerLetter"/>
      <w:lvlText w:val="%5."/>
      <w:lvlJc w:val="left"/>
      <w:pPr>
        <w:ind w:left="3600" w:hanging="360"/>
      </w:pPr>
    </w:lvl>
    <w:lvl w:ilvl="5" w:tplc="C3506DFE">
      <w:start w:val="1"/>
      <w:numFmt w:val="lowerRoman"/>
      <w:lvlText w:val="%6."/>
      <w:lvlJc w:val="right"/>
      <w:pPr>
        <w:ind w:left="4320" w:hanging="180"/>
      </w:pPr>
    </w:lvl>
    <w:lvl w:ilvl="6" w:tplc="19CACC5E">
      <w:start w:val="1"/>
      <w:numFmt w:val="decimal"/>
      <w:lvlText w:val="%7."/>
      <w:lvlJc w:val="left"/>
      <w:pPr>
        <w:ind w:left="5040" w:hanging="360"/>
      </w:pPr>
    </w:lvl>
    <w:lvl w:ilvl="7" w:tplc="AB463A2C">
      <w:start w:val="1"/>
      <w:numFmt w:val="lowerLetter"/>
      <w:lvlText w:val="%8."/>
      <w:lvlJc w:val="left"/>
      <w:pPr>
        <w:ind w:left="5760" w:hanging="360"/>
      </w:pPr>
    </w:lvl>
    <w:lvl w:ilvl="8" w:tplc="0D8CFFEA">
      <w:start w:val="1"/>
      <w:numFmt w:val="lowerRoman"/>
      <w:lvlText w:val="%9."/>
      <w:lvlJc w:val="right"/>
      <w:pPr>
        <w:ind w:left="6480" w:hanging="180"/>
      </w:pPr>
    </w:lvl>
  </w:abstractNum>
  <w:abstractNum w:abstractNumId="1" w15:restartNumberingAfterBreak="0">
    <w:nsid w:val="2B081358"/>
    <w:multiLevelType w:val="hybridMultilevel"/>
    <w:tmpl w:val="4A74B9A4"/>
    <w:lvl w:ilvl="0" w:tplc="67B4C48C">
      <w:start w:val="1"/>
      <w:numFmt w:val="decimal"/>
      <w:lvlText w:val="%1."/>
      <w:lvlJc w:val="left"/>
      <w:pPr>
        <w:ind w:left="720" w:hanging="360"/>
      </w:pPr>
    </w:lvl>
    <w:lvl w:ilvl="1" w:tplc="D7021202">
      <w:start w:val="1"/>
      <w:numFmt w:val="lowerLetter"/>
      <w:lvlText w:val="%2."/>
      <w:lvlJc w:val="left"/>
      <w:pPr>
        <w:ind w:left="1440" w:hanging="360"/>
      </w:pPr>
    </w:lvl>
    <w:lvl w:ilvl="2" w:tplc="5CF80856">
      <w:start w:val="1"/>
      <w:numFmt w:val="lowerRoman"/>
      <w:lvlText w:val="%3."/>
      <w:lvlJc w:val="right"/>
      <w:pPr>
        <w:ind w:left="2160" w:hanging="180"/>
      </w:pPr>
    </w:lvl>
    <w:lvl w:ilvl="3" w:tplc="3AE024CA">
      <w:start w:val="1"/>
      <w:numFmt w:val="decimal"/>
      <w:lvlText w:val="%4."/>
      <w:lvlJc w:val="left"/>
      <w:pPr>
        <w:ind w:left="2880" w:hanging="360"/>
      </w:pPr>
    </w:lvl>
    <w:lvl w:ilvl="4" w:tplc="9DFE8E04">
      <w:start w:val="1"/>
      <w:numFmt w:val="lowerLetter"/>
      <w:lvlText w:val="%5."/>
      <w:lvlJc w:val="left"/>
      <w:pPr>
        <w:ind w:left="3600" w:hanging="360"/>
      </w:pPr>
    </w:lvl>
    <w:lvl w:ilvl="5" w:tplc="C7C68CC2">
      <w:start w:val="1"/>
      <w:numFmt w:val="lowerRoman"/>
      <w:lvlText w:val="%6."/>
      <w:lvlJc w:val="right"/>
      <w:pPr>
        <w:ind w:left="4320" w:hanging="180"/>
      </w:pPr>
    </w:lvl>
    <w:lvl w:ilvl="6" w:tplc="842E7F52">
      <w:start w:val="1"/>
      <w:numFmt w:val="decimal"/>
      <w:lvlText w:val="%7."/>
      <w:lvlJc w:val="left"/>
      <w:pPr>
        <w:ind w:left="5040" w:hanging="360"/>
      </w:pPr>
    </w:lvl>
    <w:lvl w:ilvl="7" w:tplc="E258F348">
      <w:start w:val="1"/>
      <w:numFmt w:val="lowerLetter"/>
      <w:lvlText w:val="%8."/>
      <w:lvlJc w:val="left"/>
      <w:pPr>
        <w:ind w:left="5760" w:hanging="360"/>
      </w:pPr>
    </w:lvl>
    <w:lvl w:ilvl="8" w:tplc="92FC3FA2">
      <w:start w:val="1"/>
      <w:numFmt w:val="lowerRoman"/>
      <w:lvlText w:val="%9."/>
      <w:lvlJc w:val="right"/>
      <w:pPr>
        <w:ind w:left="6480" w:hanging="180"/>
      </w:pPr>
    </w:lvl>
  </w:abstractNum>
  <w:abstractNum w:abstractNumId="2" w15:restartNumberingAfterBreak="0">
    <w:nsid w:val="429DEED0"/>
    <w:multiLevelType w:val="hybridMultilevel"/>
    <w:tmpl w:val="2A381EC2"/>
    <w:lvl w:ilvl="0" w:tplc="735025C4">
      <w:start w:val="1"/>
      <w:numFmt w:val="decimal"/>
      <w:lvlText w:val="%1."/>
      <w:lvlJc w:val="left"/>
      <w:pPr>
        <w:ind w:left="720" w:hanging="360"/>
      </w:pPr>
    </w:lvl>
    <w:lvl w:ilvl="1" w:tplc="3C04F1D4">
      <w:start w:val="1"/>
      <w:numFmt w:val="lowerLetter"/>
      <w:lvlText w:val="%2."/>
      <w:lvlJc w:val="left"/>
      <w:pPr>
        <w:ind w:left="1440" w:hanging="360"/>
      </w:pPr>
    </w:lvl>
    <w:lvl w:ilvl="2" w:tplc="01440E50">
      <w:start w:val="1"/>
      <w:numFmt w:val="lowerRoman"/>
      <w:lvlText w:val="%3."/>
      <w:lvlJc w:val="right"/>
      <w:pPr>
        <w:ind w:left="2160" w:hanging="180"/>
      </w:pPr>
    </w:lvl>
    <w:lvl w:ilvl="3" w:tplc="86B69674">
      <w:start w:val="1"/>
      <w:numFmt w:val="decimal"/>
      <w:lvlText w:val="%4."/>
      <w:lvlJc w:val="left"/>
      <w:pPr>
        <w:ind w:left="2880" w:hanging="360"/>
      </w:pPr>
    </w:lvl>
    <w:lvl w:ilvl="4" w:tplc="860041DE">
      <w:start w:val="1"/>
      <w:numFmt w:val="lowerLetter"/>
      <w:lvlText w:val="%5."/>
      <w:lvlJc w:val="left"/>
      <w:pPr>
        <w:ind w:left="3600" w:hanging="360"/>
      </w:pPr>
    </w:lvl>
    <w:lvl w:ilvl="5" w:tplc="65A837C4">
      <w:start w:val="1"/>
      <w:numFmt w:val="lowerRoman"/>
      <w:lvlText w:val="%6."/>
      <w:lvlJc w:val="right"/>
      <w:pPr>
        <w:ind w:left="4320" w:hanging="180"/>
      </w:pPr>
    </w:lvl>
    <w:lvl w:ilvl="6" w:tplc="CE8209A8">
      <w:start w:val="1"/>
      <w:numFmt w:val="decimal"/>
      <w:lvlText w:val="%7."/>
      <w:lvlJc w:val="left"/>
      <w:pPr>
        <w:ind w:left="5040" w:hanging="360"/>
      </w:pPr>
    </w:lvl>
    <w:lvl w:ilvl="7" w:tplc="DC66AEE8">
      <w:start w:val="1"/>
      <w:numFmt w:val="lowerLetter"/>
      <w:lvlText w:val="%8."/>
      <w:lvlJc w:val="left"/>
      <w:pPr>
        <w:ind w:left="5760" w:hanging="360"/>
      </w:pPr>
    </w:lvl>
    <w:lvl w:ilvl="8" w:tplc="94806466">
      <w:start w:val="1"/>
      <w:numFmt w:val="lowerRoman"/>
      <w:lvlText w:val="%9."/>
      <w:lvlJc w:val="right"/>
      <w:pPr>
        <w:ind w:left="6480" w:hanging="180"/>
      </w:pPr>
    </w:lvl>
  </w:abstractNum>
  <w:abstractNum w:abstractNumId="3" w15:restartNumberingAfterBreak="0">
    <w:nsid w:val="4FA19F65"/>
    <w:multiLevelType w:val="hybridMultilevel"/>
    <w:tmpl w:val="26120420"/>
    <w:lvl w:ilvl="0" w:tplc="BC88548C">
      <w:start w:val="1"/>
      <w:numFmt w:val="decimal"/>
      <w:lvlText w:val="%1."/>
      <w:lvlJc w:val="left"/>
      <w:pPr>
        <w:ind w:left="720" w:hanging="360"/>
      </w:pPr>
    </w:lvl>
    <w:lvl w:ilvl="1" w:tplc="D1AE969E">
      <w:start w:val="1"/>
      <w:numFmt w:val="lowerLetter"/>
      <w:lvlText w:val="%2."/>
      <w:lvlJc w:val="left"/>
      <w:pPr>
        <w:ind w:left="1440" w:hanging="360"/>
      </w:pPr>
    </w:lvl>
    <w:lvl w:ilvl="2" w:tplc="B3041E44">
      <w:start w:val="1"/>
      <w:numFmt w:val="lowerRoman"/>
      <w:lvlText w:val="%3."/>
      <w:lvlJc w:val="right"/>
      <w:pPr>
        <w:ind w:left="2160" w:hanging="180"/>
      </w:pPr>
    </w:lvl>
    <w:lvl w:ilvl="3" w:tplc="A06257EA">
      <w:start w:val="1"/>
      <w:numFmt w:val="decimal"/>
      <w:lvlText w:val="%4."/>
      <w:lvlJc w:val="left"/>
      <w:pPr>
        <w:ind w:left="2880" w:hanging="360"/>
      </w:pPr>
    </w:lvl>
    <w:lvl w:ilvl="4" w:tplc="2A44C2F4">
      <w:start w:val="1"/>
      <w:numFmt w:val="lowerLetter"/>
      <w:lvlText w:val="%5."/>
      <w:lvlJc w:val="left"/>
      <w:pPr>
        <w:ind w:left="3600" w:hanging="360"/>
      </w:pPr>
    </w:lvl>
    <w:lvl w:ilvl="5" w:tplc="A8D458A8">
      <w:start w:val="1"/>
      <w:numFmt w:val="lowerRoman"/>
      <w:lvlText w:val="%6."/>
      <w:lvlJc w:val="right"/>
      <w:pPr>
        <w:ind w:left="4320" w:hanging="180"/>
      </w:pPr>
    </w:lvl>
    <w:lvl w:ilvl="6" w:tplc="8B4EBA50">
      <w:start w:val="1"/>
      <w:numFmt w:val="decimal"/>
      <w:lvlText w:val="%7."/>
      <w:lvlJc w:val="left"/>
      <w:pPr>
        <w:ind w:left="5040" w:hanging="360"/>
      </w:pPr>
    </w:lvl>
    <w:lvl w:ilvl="7" w:tplc="2C12FE52">
      <w:start w:val="1"/>
      <w:numFmt w:val="lowerLetter"/>
      <w:lvlText w:val="%8."/>
      <w:lvlJc w:val="left"/>
      <w:pPr>
        <w:ind w:left="5760" w:hanging="360"/>
      </w:pPr>
    </w:lvl>
    <w:lvl w:ilvl="8" w:tplc="1A44F50A">
      <w:start w:val="1"/>
      <w:numFmt w:val="lowerRoman"/>
      <w:lvlText w:val="%9."/>
      <w:lvlJc w:val="right"/>
      <w:pPr>
        <w:ind w:left="6480" w:hanging="180"/>
      </w:pPr>
    </w:lvl>
  </w:abstractNum>
  <w:num w:numId="1" w16cid:durableId="1043138722">
    <w:abstractNumId w:val="3"/>
  </w:num>
  <w:num w:numId="2" w16cid:durableId="1333726742">
    <w:abstractNumId w:val="2"/>
  </w:num>
  <w:num w:numId="3" w16cid:durableId="1349404726">
    <w:abstractNumId w:val="0"/>
  </w:num>
  <w:num w:numId="4" w16cid:durableId="9721718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A0F49CA"/>
    <w:rsid w:val="002060AA"/>
    <w:rsid w:val="002574C7"/>
    <w:rsid w:val="002B6C4F"/>
    <w:rsid w:val="002D6748"/>
    <w:rsid w:val="00305524"/>
    <w:rsid w:val="003B2F04"/>
    <w:rsid w:val="0041308D"/>
    <w:rsid w:val="00604521"/>
    <w:rsid w:val="006C0C6B"/>
    <w:rsid w:val="00783538"/>
    <w:rsid w:val="00797BA3"/>
    <w:rsid w:val="00842429"/>
    <w:rsid w:val="00920994"/>
    <w:rsid w:val="00952DB5"/>
    <w:rsid w:val="009C6F06"/>
    <w:rsid w:val="00A25F46"/>
    <w:rsid w:val="00AC0A46"/>
    <w:rsid w:val="00AC5E93"/>
    <w:rsid w:val="00B405AF"/>
    <w:rsid w:val="00C8C311"/>
    <w:rsid w:val="00D2043B"/>
    <w:rsid w:val="00EB5A60"/>
    <w:rsid w:val="00F32385"/>
    <w:rsid w:val="00FD5FC1"/>
    <w:rsid w:val="00FE08A0"/>
    <w:rsid w:val="0101C85D"/>
    <w:rsid w:val="0146D76C"/>
    <w:rsid w:val="01842434"/>
    <w:rsid w:val="01F4C604"/>
    <w:rsid w:val="026860EE"/>
    <w:rsid w:val="02B13533"/>
    <w:rsid w:val="032037B3"/>
    <w:rsid w:val="035D73D0"/>
    <w:rsid w:val="03F3948B"/>
    <w:rsid w:val="04D18F52"/>
    <w:rsid w:val="058FA093"/>
    <w:rsid w:val="05D66222"/>
    <w:rsid w:val="05EA872E"/>
    <w:rsid w:val="06067E05"/>
    <w:rsid w:val="0606A9B4"/>
    <w:rsid w:val="061E7C47"/>
    <w:rsid w:val="0664FE11"/>
    <w:rsid w:val="06758331"/>
    <w:rsid w:val="070AD3AB"/>
    <w:rsid w:val="070FDBFC"/>
    <w:rsid w:val="07451C61"/>
    <w:rsid w:val="07544AE3"/>
    <w:rsid w:val="083AD733"/>
    <w:rsid w:val="087A6ED5"/>
    <w:rsid w:val="08911D59"/>
    <w:rsid w:val="08C2D82B"/>
    <w:rsid w:val="08C897CC"/>
    <w:rsid w:val="0936800C"/>
    <w:rsid w:val="0939ED03"/>
    <w:rsid w:val="0A84F4DB"/>
    <w:rsid w:val="0AEF12A9"/>
    <w:rsid w:val="0B10B8C3"/>
    <w:rsid w:val="0B30ED9E"/>
    <w:rsid w:val="0B417778"/>
    <w:rsid w:val="0B5D4738"/>
    <w:rsid w:val="0B6F3AA3"/>
    <w:rsid w:val="0B8C8B4B"/>
    <w:rsid w:val="0BBE30FA"/>
    <w:rsid w:val="0BCC8988"/>
    <w:rsid w:val="0BDF9918"/>
    <w:rsid w:val="0BF88F60"/>
    <w:rsid w:val="0C17C502"/>
    <w:rsid w:val="0C20B61E"/>
    <w:rsid w:val="0CE8BC29"/>
    <w:rsid w:val="0D0A000D"/>
    <w:rsid w:val="0D3A3832"/>
    <w:rsid w:val="0D634E02"/>
    <w:rsid w:val="0DCE79C9"/>
    <w:rsid w:val="0DFA850A"/>
    <w:rsid w:val="0EA3206D"/>
    <w:rsid w:val="0EBF622C"/>
    <w:rsid w:val="0EF8B294"/>
    <w:rsid w:val="0EFC510E"/>
    <w:rsid w:val="0EFCF889"/>
    <w:rsid w:val="0F06BE7B"/>
    <w:rsid w:val="0F1C7A74"/>
    <w:rsid w:val="0F41271B"/>
    <w:rsid w:val="0F690650"/>
    <w:rsid w:val="0F6FB0AD"/>
    <w:rsid w:val="0F72E54E"/>
    <w:rsid w:val="101DE367"/>
    <w:rsid w:val="104A88F9"/>
    <w:rsid w:val="10F2E9E6"/>
    <w:rsid w:val="10F7C359"/>
    <w:rsid w:val="1159F200"/>
    <w:rsid w:val="125E0B4A"/>
    <w:rsid w:val="129605C9"/>
    <w:rsid w:val="129FE52B"/>
    <w:rsid w:val="134AEED1"/>
    <w:rsid w:val="139B4645"/>
    <w:rsid w:val="13C7A7A3"/>
    <w:rsid w:val="13FA3200"/>
    <w:rsid w:val="141E1AF4"/>
    <w:rsid w:val="143B4183"/>
    <w:rsid w:val="14C76620"/>
    <w:rsid w:val="1585CEA5"/>
    <w:rsid w:val="15A6AC51"/>
    <w:rsid w:val="167BC1DC"/>
    <w:rsid w:val="167C821C"/>
    <w:rsid w:val="171C0540"/>
    <w:rsid w:val="1756FDEE"/>
    <w:rsid w:val="176650D9"/>
    <w:rsid w:val="17D58E33"/>
    <w:rsid w:val="17F297AE"/>
    <w:rsid w:val="180ED995"/>
    <w:rsid w:val="19409C75"/>
    <w:rsid w:val="199E4541"/>
    <w:rsid w:val="19BD33F2"/>
    <w:rsid w:val="19D5A910"/>
    <w:rsid w:val="19F67D81"/>
    <w:rsid w:val="1A06261D"/>
    <w:rsid w:val="1A2A1293"/>
    <w:rsid w:val="1A46B755"/>
    <w:rsid w:val="1A7CA223"/>
    <w:rsid w:val="1AE161F4"/>
    <w:rsid w:val="1B094C3C"/>
    <w:rsid w:val="1B375FB2"/>
    <w:rsid w:val="1B3FC693"/>
    <w:rsid w:val="1B515AD5"/>
    <w:rsid w:val="1B610615"/>
    <w:rsid w:val="1B755F29"/>
    <w:rsid w:val="1B8B9F5C"/>
    <w:rsid w:val="1BA8B9BC"/>
    <w:rsid w:val="1BC298BB"/>
    <w:rsid w:val="1BCE9D80"/>
    <w:rsid w:val="1BEA2488"/>
    <w:rsid w:val="1CAAFE1A"/>
    <w:rsid w:val="1CD5235B"/>
    <w:rsid w:val="1CF34C59"/>
    <w:rsid w:val="1D1BEEF5"/>
    <w:rsid w:val="1D37BE6C"/>
    <w:rsid w:val="1D72E793"/>
    <w:rsid w:val="1DE522DE"/>
    <w:rsid w:val="1E20C9C6"/>
    <w:rsid w:val="1E23C2E7"/>
    <w:rsid w:val="1E4B75A9"/>
    <w:rsid w:val="2028C2F5"/>
    <w:rsid w:val="20467030"/>
    <w:rsid w:val="2055E169"/>
    <w:rsid w:val="20745BA9"/>
    <w:rsid w:val="21E0F62C"/>
    <w:rsid w:val="2217371F"/>
    <w:rsid w:val="22408708"/>
    <w:rsid w:val="2263F0EF"/>
    <w:rsid w:val="228A7DFB"/>
    <w:rsid w:val="2345317F"/>
    <w:rsid w:val="235AA749"/>
    <w:rsid w:val="2381BD9A"/>
    <w:rsid w:val="241322F2"/>
    <w:rsid w:val="24503F4B"/>
    <w:rsid w:val="24C70B33"/>
    <w:rsid w:val="25589E95"/>
    <w:rsid w:val="25B16AD4"/>
    <w:rsid w:val="25E21203"/>
    <w:rsid w:val="25E2C560"/>
    <w:rsid w:val="26D59FCB"/>
    <w:rsid w:val="273566C9"/>
    <w:rsid w:val="27CD7020"/>
    <w:rsid w:val="28547461"/>
    <w:rsid w:val="2863CA05"/>
    <w:rsid w:val="289B356A"/>
    <w:rsid w:val="28B5D6EE"/>
    <w:rsid w:val="299AE5BA"/>
    <w:rsid w:val="29AF02ED"/>
    <w:rsid w:val="29B1D9D6"/>
    <w:rsid w:val="2A0F49CA"/>
    <w:rsid w:val="2A6EDDE0"/>
    <w:rsid w:val="2AC1EAE0"/>
    <w:rsid w:val="2AD20714"/>
    <w:rsid w:val="2B511C5D"/>
    <w:rsid w:val="2B5C0CCE"/>
    <w:rsid w:val="2B8645C6"/>
    <w:rsid w:val="2BA35409"/>
    <w:rsid w:val="2BAB1AD9"/>
    <w:rsid w:val="2BF58488"/>
    <w:rsid w:val="2BF7DC10"/>
    <w:rsid w:val="2C2C8D71"/>
    <w:rsid w:val="2D466919"/>
    <w:rsid w:val="2D72A0B5"/>
    <w:rsid w:val="2D799767"/>
    <w:rsid w:val="2DD7C736"/>
    <w:rsid w:val="2DFBCBCF"/>
    <w:rsid w:val="2E2EF7D9"/>
    <w:rsid w:val="2E314976"/>
    <w:rsid w:val="2E58BE92"/>
    <w:rsid w:val="2E5BB39A"/>
    <w:rsid w:val="2E70E20F"/>
    <w:rsid w:val="2E7DC660"/>
    <w:rsid w:val="2F01C788"/>
    <w:rsid w:val="2F3E30E9"/>
    <w:rsid w:val="2F4399A0"/>
    <w:rsid w:val="2F641867"/>
    <w:rsid w:val="2FCBAC8D"/>
    <w:rsid w:val="2FCD4DCC"/>
    <w:rsid w:val="30182119"/>
    <w:rsid w:val="301BE9C6"/>
    <w:rsid w:val="31C30E60"/>
    <w:rsid w:val="31C6172F"/>
    <w:rsid w:val="31D0F613"/>
    <w:rsid w:val="323669B0"/>
    <w:rsid w:val="3239EF62"/>
    <w:rsid w:val="32E99142"/>
    <w:rsid w:val="32F4CAB4"/>
    <w:rsid w:val="33128E7E"/>
    <w:rsid w:val="3316F6A0"/>
    <w:rsid w:val="3363C83F"/>
    <w:rsid w:val="33781B14"/>
    <w:rsid w:val="33C55A3C"/>
    <w:rsid w:val="33D22724"/>
    <w:rsid w:val="342E9F23"/>
    <w:rsid w:val="349B399C"/>
    <w:rsid w:val="3522E74F"/>
    <w:rsid w:val="35A46EA7"/>
    <w:rsid w:val="35BE84A1"/>
    <w:rsid w:val="36025F81"/>
    <w:rsid w:val="363753DA"/>
    <w:rsid w:val="366584DF"/>
    <w:rsid w:val="369FA941"/>
    <w:rsid w:val="36D56F25"/>
    <w:rsid w:val="36FEFA73"/>
    <w:rsid w:val="3799BC32"/>
    <w:rsid w:val="3852565B"/>
    <w:rsid w:val="389038DB"/>
    <w:rsid w:val="38992FAF"/>
    <w:rsid w:val="389A371E"/>
    <w:rsid w:val="38DF63AB"/>
    <w:rsid w:val="39C323AF"/>
    <w:rsid w:val="39D777AD"/>
    <w:rsid w:val="3A4F8439"/>
    <w:rsid w:val="3ABD3995"/>
    <w:rsid w:val="3B366680"/>
    <w:rsid w:val="3B38A300"/>
    <w:rsid w:val="3B7DA144"/>
    <w:rsid w:val="3BD89C55"/>
    <w:rsid w:val="3C58CE1A"/>
    <w:rsid w:val="3C87CB67"/>
    <w:rsid w:val="3C99460F"/>
    <w:rsid w:val="3D2C9112"/>
    <w:rsid w:val="3D5E7531"/>
    <w:rsid w:val="3D9B3343"/>
    <w:rsid w:val="3DE023D8"/>
    <w:rsid w:val="3E3CB5AB"/>
    <w:rsid w:val="3E422412"/>
    <w:rsid w:val="3E642929"/>
    <w:rsid w:val="3E942A6C"/>
    <w:rsid w:val="3EAA6593"/>
    <w:rsid w:val="3F0AA727"/>
    <w:rsid w:val="3F186A9A"/>
    <w:rsid w:val="3F41200F"/>
    <w:rsid w:val="3F41507D"/>
    <w:rsid w:val="4013F0DD"/>
    <w:rsid w:val="40AA9DDE"/>
    <w:rsid w:val="415277C8"/>
    <w:rsid w:val="41793390"/>
    <w:rsid w:val="417CFF2D"/>
    <w:rsid w:val="41AB2EB7"/>
    <w:rsid w:val="41D52271"/>
    <w:rsid w:val="41F5430C"/>
    <w:rsid w:val="427B580A"/>
    <w:rsid w:val="427FA468"/>
    <w:rsid w:val="42C4A4E3"/>
    <w:rsid w:val="42D797B4"/>
    <w:rsid w:val="430B4E53"/>
    <w:rsid w:val="430EA84A"/>
    <w:rsid w:val="434642E9"/>
    <w:rsid w:val="43AA5170"/>
    <w:rsid w:val="43AB3E65"/>
    <w:rsid w:val="43D4EE2C"/>
    <w:rsid w:val="4408804D"/>
    <w:rsid w:val="440DE830"/>
    <w:rsid w:val="44498B14"/>
    <w:rsid w:val="4453D97E"/>
    <w:rsid w:val="4499B0C0"/>
    <w:rsid w:val="44E68999"/>
    <w:rsid w:val="44F725AA"/>
    <w:rsid w:val="45026373"/>
    <w:rsid w:val="458E43BF"/>
    <w:rsid w:val="45ACC998"/>
    <w:rsid w:val="460D06E8"/>
    <w:rsid w:val="465DCD93"/>
    <w:rsid w:val="46740E5D"/>
    <w:rsid w:val="46ABF62E"/>
    <w:rsid w:val="46EFA03C"/>
    <w:rsid w:val="46F3C5FB"/>
    <w:rsid w:val="4784404F"/>
    <w:rsid w:val="47E35071"/>
    <w:rsid w:val="47EC88DA"/>
    <w:rsid w:val="488253F8"/>
    <w:rsid w:val="48C132FF"/>
    <w:rsid w:val="48E8CD01"/>
    <w:rsid w:val="493DEFAB"/>
    <w:rsid w:val="4944B034"/>
    <w:rsid w:val="4973DD45"/>
    <w:rsid w:val="49B876B3"/>
    <w:rsid w:val="49BF9C9C"/>
    <w:rsid w:val="4A12BE7F"/>
    <w:rsid w:val="4A153BCC"/>
    <w:rsid w:val="4A71C42D"/>
    <w:rsid w:val="4A9E6C69"/>
    <w:rsid w:val="4AAF4298"/>
    <w:rsid w:val="4ACB02E6"/>
    <w:rsid w:val="4AEBB793"/>
    <w:rsid w:val="4B4F38FF"/>
    <w:rsid w:val="4B925931"/>
    <w:rsid w:val="4BAC2529"/>
    <w:rsid w:val="4BD1F4A7"/>
    <w:rsid w:val="4C656BB8"/>
    <w:rsid w:val="4C669408"/>
    <w:rsid w:val="4CC5ECDC"/>
    <w:rsid w:val="4CC9D2E6"/>
    <w:rsid w:val="4CD3BC56"/>
    <w:rsid w:val="4D29C643"/>
    <w:rsid w:val="4DF29E1B"/>
    <w:rsid w:val="4E2B36BC"/>
    <w:rsid w:val="4E56179A"/>
    <w:rsid w:val="4E7F1D27"/>
    <w:rsid w:val="4EE65FBE"/>
    <w:rsid w:val="4F025C4E"/>
    <w:rsid w:val="4F2C65E0"/>
    <w:rsid w:val="4F32AFC1"/>
    <w:rsid w:val="4F5DE4D0"/>
    <w:rsid w:val="4FA5A979"/>
    <w:rsid w:val="501B23D6"/>
    <w:rsid w:val="5067B8E7"/>
    <w:rsid w:val="5093EA5D"/>
    <w:rsid w:val="51402520"/>
    <w:rsid w:val="514137A1"/>
    <w:rsid w:val="5164E9A2"/>
    <w:rsid w:val="51BDA1AD"/>
    <w:rsid w:val="52808AE2"/>
    <w:rsid w:val="52C6CF5C"/>
    <w:rsid w:val="5307CC6D"/>
    <w:rsid w:val="5376E0A7"/>
    <w:rsid w:val="538B077E"/>
    <w:rsid w:val="53A4ADC0"/>
    <w:rsid w:val="53D9B078"/>
    <w:rsid w:val="54074754"/>
    <w:rsid w:val="54131B46"/>
    <w:rsid w:val="5434BD20"/>
    <w:rsid w:val="548300A1"/>
    <w:rsid w:val="54B7E65F"/>
    <w:rsid w:val="553BA637"/>
    <w:rsid w:val="557951BD"/>
    <w:rsid w:val="55B01457"/>
    <w:rsid w:val="56289277"/>
    <w:rsid w:val="56643035"/>
    <w:rsid w:val="56A61A5D"/>
    <w:rsid w:val="572BC29F"/>
    <w:rsid w:val="572FE32B"/>
    <w:rsid w:val="57BC28DC"/>
    <w:rsid w:val="57C06ECC"/>
    <w:rsid w:val="57DCE779"/>
    <w:rsid w:val="58220B4C"/>
    <w:rsid w:val="584118C3"/>
    <w:rsid w:val="58430F86"/>
    <w:rsid w:val="58788F3D"/>
    <w:rsid w:val="587E4685"/>
    <w:rsid w:val="58B28C67"/>
    <w:rsid w:val="58B901BF"/>
    <w:rsid w:val="58CE7535"/>
    <w:rsid w:val="5904E9FB"/>
    <w:rsid w:val="5911F984"/>
    <w:rsid w:val="5A3E66E8"/>
    <w:rsid w:val="5AAC2B73"/>
    <w:rsid w:val="5AD0C4A4"/>
    <w:rsid w:val="5BF82CA1"/>
    <w:rsid w:val="5C6B2EDC"/>
    <w:rsid w:val="5CBED649"/>
    <w:rsid w:val="5CCAE336"/>
    <w:rsid w:val="5D122C37"/>
    <w:rsid w:val="5D3D3890"/>
    <w:rsid w:val="5D7BB458"/>
    <w:rsid w:val="5E7FBDE4"/>
    <w:rsid w:val="5F03A7FB"/>
    <w:rsid w:val="5F721F44"/>
    <w:rsid w:val="5F88AE70"/>
    <w:rsid w:val="5FAA1A44"/>
    <w:rsid w:val="5FFA9762"/>
    <w:rsid w:val="5FFB3944"/>
    <w:rsid w:val="6000098E"/>
    <w:rsid w:val="606A2B21"/>
    <w:rsid w:val="607C90B7"/>
    <w:rsid w:val="60BC6CAC"/>
    <w:rsid w:val="60BF6CFC"/>
    <w:rsid w:val="60E48997"/>
    <w:rsid w:val="60EC774C"/>
    <w:rsid w:val="6104B724"/>
    <w:rsid w:val="6129FDF4"/>
    <w:rsid w:val="6162ED75"/>
    <w:rsid w:val="61D6436A"/>
    <w:rsid w:val="62225381"/>
    <w:rsid w:val="624ACC37"/>
    <w:rsid w:val="6285EC16"/>
    <w:rsid w:val="632E8895"/>
    <w:rsid w:val="635AA2DC"/>
    <w:rsid w:val="63DAC7D9"/>
    <w:rsid w:val="64043828"/>
    <w:rsid w:val="642EF31A"/>
    <w:rsid w:val="6440A4CF"/>
    <w:rsid w:val="644EE487"/>
    <w:rsid w:val="65530A46"/>
    <w:rsid w:val="656B517C"/>
    <w:rsid w:val="65CFBE20"/>
    <w:rsid w:val="65D6F958"/>
    <w:rsid w:val="66338089"/>
    <w:rsid w:val="66C0ADDA"/>
    <w:rsid w:val="66F755C5"/>
    <w:rsid w:val="67AE4E95"/>
    <w:rsid w:val="67D01F8E"/>
    <w:rsid w:val="67D3A8F6"/>
    <w:rsid w:val="67E6C337"/>
    <w:rsid w:val="683A6D52"/>
    <w:rsid w:val="6848BFCC"/>
    <w:rsid w:val="68536484"/>
    <w:rsid w:val="685CE8B8"/>
    <w:rsid w:val="689BA0EA"/>
    <w:rsid w:val="692EF495"/>
    <w:rsid w:val="695C17D6"/>
    <w:rsid w:val="6964C349"/>
    <w:rsid w:val="69A214A7"/>
    <w:rsid w:val="6A01DAD7"/>
    <w:rsid w:val="6A378196"/>
    <w:rsid w:val="6A445BDD"/>
    <w:rsid w:val="6A4B76F8"/>
    <w:rsid w:val="6A638A4A"/>
    <w:rsid w:val="6A69D1E5"/>
    <w:rsid w:val="6AB34CDB"/>
    <w:rsid w:val="6B50D61C"/>
    <w:rsid w:val="6B9C8115"/>
    <w:rsid w:val="6BAF5927"/>
    <w:rsid w:val="6BE136DA"/>
    <w:rsid w:val="6C3D8DC3"/>
    <w:rsid w:val="6CADEB5B"/>
    <w:rsid w:val="6CC4B185"/>
    <w:rsid w:val="6CD399DE"/>
    <w:rsid w:val="6CDA4466"/>
    <w:rsid w:val="6CF45B97"/>
    <w:rsid w:val="6D06750B"/>
    <w:rsid w:val="6DD02D28"/>
    <w:rsid w:val="6E1E60E4"/>
    <w:rsid w:val="6E357DDB"/>
    <w:rsid w:val="6E729946"/>
    <w:rsid w:val="6E8D5C0F"/>
    <w:rsid w:val="6E9CCD3C"/>
    <w:rsid w:val="6EBDACC0"/>
    <w:rsid w:val="6EEBB13A"/>
    <w:rsid w:val="6F0C3F8C"/>
    <w:rsid w:val="6F265C30"/>
    <w:rsid w:val="6F39495C"/>
    <w:rsid w:val="6F3D67F1"/>
    <w:rsid w:val="6FAC93CA"/>
    <w:rsid w:val="6FE2BD5C"/>
    <w:rsid w:val="6FF96E02"/>
    <w:rsid w:val="70373C54"/>
    <w:rsid w:val="70453DCC"/>
    <w:rsid w:val="705C35C0"/>
    <w:rsid w:val="70C6F31B"/>
    <w:rsid w:val="70D281BA"/>
    <w:rsid w:val="712BFC12"/>
    <w:rsid w:val="714A7D75"/>
    <w:rsid w:val="716BD2D2"/>
    <w:rsid w:val="718AA58F"/>
    <w:rsid w:val="71945663"/>
    <w:rsid w:val="7202234D"/>
    <w:rsid w:val="722446E6"/>
    <w:rsid w:val="72954EDC"/>
    <w:rsid w:val="7298165A"/>
    <w:rsid w:val="73072C61"/>
    <w:rsid w:val="7321B284"/>
    <w:rsid w:val="73279FEC"/>
    <w:rsid w:val="73C92146"/>
    <w:rsid w:val="73C97D53"/>
    <w:rsid w:val="73D46A91"/>
    <w:rsid w:val="74015014"/>
    <w:rsid w:val="740A6541"/>
    <w:rsid w:val="7414895E"/>
    <w:rsid w:val="744CD0DB"/>
    <w:rsid w:val="7517C044"/>
    <w:rsid w:val="75684843"/>
    <w:rsid w:val="758517DC"/>
    <w:rsid w:val="75C7B6A0"/>
    <w:rsid w:val="76717951"/>
    <w:rsid w:val="767BE139"/>
    <w:rsid w:val="7694CBA0"/>
    <w:rsid w:val="76CFE789"/>
    <w:rsid w:val="76D9D551"/>
    <w:rsid w:val="7716B82B"/>
    <w:rsid w:val="772DC21D"/>
    <w:rsid w:val="772FF30C"/>
    <w:rsid w:val="77C91392"/>
    <w:rsid w:val="77E2E08B"/>
    <w:rsid w:val="78188C40"/>
    <w:rsid w:val="78200696"/>
    <w:rsid w:val="788F75D4"/>
    <w:rsid w:val="78E15A70"/>
    <w:rsid w:val="78EC6667"/>
    <w:rsid w:val="78EED452"/>
    <w:rsid w:val="78F670C6"/>
    <w:rsid w:val="797C3B03"/>
    <w:rsid w:val="798009E2"/>
    <w:rsid w:val="79B37AD3"/>
    <w:rsid w:val="79CAF685"/>
    <w:rsid w:val="79E20C2C"/>
    <w:rsid w:val="7A14D9A3"/>
    <w:rsid w:val="7A22FE93"/>
    <w:rsid w:val="7A541C45"/>
    <w:rsid w:val="7AA7E861"/>
    <w:rsid w:val="7AC42D09"/>
    <w:rsid w:val="7B012EE9"/>
    <w:rsid w:val="7B375275"/>
    <w:rsid w:val="7B58857D"/>
    <w:rsid w:val="7CBE9B16"/>
    <w:rsid w:val="7CC1527D"/>
    <w:rsid w:val="7D99B351"/>
    <w:rsid w:val="7DC38ACF"/>
    <w:rsid w:val="7DDFACD7"/>
    <w:rsid w:val="7E62EDE4"/>
    <w:rsid w:val="7E90E090"/>
    <w:rsid w:val="7F249A79"/>
    <w:rsid w:val="7F40DF11"/>
    <w:rsid w:val="7F698BCA"/>
    <w:rsid w:val="7FD89DC2"/>
    <w:rsid w:val="7FF39D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F49CA"/>
  <w15:chartTrackingRefBased/>
  <w15:docId w15:val="{BB82E113-06B8-47D6-976C-2EBCC564F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tr-TR"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Balk1">
    <w:name w:val="heading 1"/>
    <w:basedOn w:val="Normal"/>
    <w:next w:val="Normal"/>
    <w:link w:val="Balk1Char"/>
    <w:uiPriority w:val="9"/>
    <w:qFormat/>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paragraph" w:styleId="Balk2">
    <w:name w:val="heading 2"/>
    <w:basedOn w:val="Normal"/>
    <w:next w:val="Normal"/>
    <w:link w:val="Balk2Char"/>
    <w:uiPriority w:val="9"/>
    <w:unhideWhenUsed/>
    <w:qFormat/>
    <w:pPr>
      <w:keepNext/>
      <w:keepLines/>
      <w:spacing w:before="40" w:after="0"/>
      <w:outlineLvl w:val="1"/>
    </w:pPr>
    <w:rPr>
      <w:rFonts w:asciiTheme="majorHAnsi" w:hAnsiTheme="majorHAnsi" w:eastAsiaTheme="majorEastAsia" w:cstheme="majorBidi"/>
      <w:color w:val="0F4761" w:themeColor="accent1" w:themeShade="BF"/>
      <w:sz w:val="26"/>
      <w:szCs w:val="26"/>
    </w:r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paragraph" w:styleId="5000GTALTINDAKGEMLERNEUMRVREHBER" w:customStyle="1">
    <w:name w:val="5000GT ALTINDAKİ GEMİLER İÇİN EU MRV REHBERİ"/>
    <w:basedOn w:val="Normal"/>
    <w:link w:val="5000GTALTINDAKGEMLERNEUMRVREHBERChar"/>
    <w:uiPriority w:val="1"/>
    <w:qFormat/>
    <w:rsid w:val="33781B14"/>
    <w:pPr>
      <w:keepNext/>
      <w:keepLines/>
      <w:spacing w:before="240" w:after="0"/>
      <w:outlineLvl w:val="0"/>
    </w:pPr>
    <w:rPr>
      <w:rFonts w:asciiTheme="majorHAnsi" w:hAnsiTheme="majorHAnsi" w:eastAsiaTheme="majorEastAsia" w:cstheme="majorBidi"/>
      <w:color w:val="0F4761" w:themeColor="accent1" w:themeShade="BF"/>
      <w:sz w:val="32"/>
      <w:szCs w:val="32"/>
    </w:rPr>
  </w:style>
  <w:style w:type="character" w:styleId="5000GTALTINDAKGEMLERNEUMRVREHBERChar" w:customStyle="1">
    <w:name w:val="5000GT ALTINDAKİ GEMİLER İÇİN EU MRV REHBERİ  Char"/>
    <w:basedOn w:val="VarsaylanParagrafYazTipi"/>
    <w:link w:val="5000GTALTINDAKGEMLERNEUMRVREHBER"/>
    <w:rsid w:val="33781B14"/>
    <w:rPr>
      <w:rFonts w:asciiTheme="majorHAnsi" w:hAnsiTheme="majorHAnsi" w:eastAsiaTheme="majorEastAsia" w:cstheme="majorBidi"/>
      <w:color w:val="0F4761" w:themeColor="accent1" w:themeShade="BF"/>
      <w:sz w:val="32"/>
      <w:szCs w:val="32"/>
      <w:lang w:val="tr-TR" w:eastAsia="en-US" w:bidi="ar-SA"/>
    </w:rPr>
  </w:style>
  <w:style w:type="character" w:styleId="Balk1Char" w:customStyle="1">
    <w:name w:val="Başlık 1 Char"/>
    <w:basedOn w:val="VarsaylanParagrafYazTipi"/>
    <w:link w:val="Balk1"/>
    <w:uiPriority w:val="9"/>
    <w:rPr>
      <w:rFonts w:asciiTheme="majorHAnsi" w:hAnsiTheme="majorHAnsi" w:eastAsiaTheme="majorEastAsia" w:cstheme="majorBidi"/>
      <w:color w:val="0F4761" w:themeColor="accent1" w:themeShade="BF"/>
      <w:sz w:val="32"/>
      <w:szCs w:val="32"/>
    </w:rPr>
  </w:style>
  <w:style w:type="character" w:styleId="Balk2Char" w:customStyle="1">
    <w:name w:val="Başlık 2 Char"/>
    <w:basedOn w:val="VarsaylanParagrafYazTipi"/>
    <w:link w:val="Balk2"/>
    <w:uiPriority w:val="9"/>
    <w:rPr>
      <w:rFonts w:asciiTheme="majorHAnsi" w:hAnsiTheme="majorHAnsi" w:eastAsiaTheme="majorEastAsia" w:cstheme="majorBidi"/>
      <w:color w:val="0F4761" w:themeColor="accent1" w:themeShade="BF"/>
      <w:sz w:val="26"/>
      <w:szCs w:val="26"/>
    </w:rPr>
  </w:style>
  <w:style w:type="paragraph" w:styleId="ListeParagraf">
    <w:name w:val="List Paragraph"/>
    <w:basedOn w:val="Normal"/>
    <w:uiPriority w:val="34"/>
    <w:qFormat/>
    <w:pPr>
      <w:ind w:left="720"/>
      <w:contextualSpacing/>
    </w:pPr>
  </w:style>
  <w:style w:type="character" w:styleId="Kpr">
    <w:name w:val="Hyperlink"/>
    <w:basedOn w:val="VarsaylanParagrafYazTipi"/>
    <w:uiPriority w:val="99"/>
    <w:unhideWhenUsed/>
    <w:rPr>
      <w:color w:val="467886" w:themeColor="hyperlink"/>
      <w:u w:val="single"/>
    </w:rPr>
  </w:style>
  <w:style w:type="character" w:styleId="zmlenmeyenBahsetme">
    <w:name w:val="Unresolved Mention"/>
    <w:basedOn w:val="VarsaylanParagrafYazTipi"/>
    <w:uiPriority w:val="99"/>
    <w:semiHidden/>
    <w:unhideWhenUsed/>
    <w:rsid w:val="00A25F46"/>
    <w:rPr>
      <w:color w:val="605E5C"/>
      <w:shd w:val="clear" w:color="auto" w:fill="E1DFDD"/>
    </w:rPr>
  </w:style>
  <w:style xmlns:w14="http://schemas.microsoft.com/office/word/2010/wordml" xmlns:mc="http://schemas.openxmlformats.org/markup-compatibility/2006" xmlns:w="http://schemas.openxmlformats.org/wordprocessingml/2006/main" w:type="character" w:styleId="Heading3Char" w:customStyle="1" mc:Ignorable="w14">
    <w:name xmlns:w="http://schemas.openxmlformats.org/wordprocessingml/2006/main" w:val="Heading 3 Char"/>
    <w:basedOn xmlns:w="http://schemas.openxmlformats.org/wordprocessingml/2006/main" w:val="VarsaylanParagrafYazTipi"/>
    <w:link xmlns:w="http://schemas.openxmlformats.org/wordprocessingml/2006/main" w:val="Heading3"/>
    <w:uiPriority xmlns:w="http://schemas.openxmlformats.org/wordprocessingml/2006/main" w:val="9"/>
    <w:rPr xmlns:w="http://schemas.openxmlformats.org/wordprocessingml/2006/main">
      <w:rFonts w:asciiTheme="majorHAnsi" w:hAnsiTheme="majorHAnsi" w:eastAsiaTheme="majorEastAsia" w:cstheme="majorBidi"/>
      <w:color w:val="1F4D78" w:themeColor="accent1" w:themeShade="7F"/>
      <w:sz w:val="24"/>
      <w:szCs w:val="24"/>
    </w:rPr>
  </w:style>
  <w:style xmlns:w14="http://schemas.microsoft.com/office/word/2010/wordml" xmlns:mc="http://schemas.openxmlformats.org/markup-compatibility/2006" xmlns:w="http://schemas.openxmlformats.org/wordprocessingml/2006/main" w:type="paragraph" w:styleId="Heading3" mc:Ignorable="w14">
    <w:name xmlns:w="http://schemas.openxmlformats.org/wordprocessingml/2006/main" w:val="heading 3"/>
    <w:basedOn xmlns:w="http://schemas.openxmlformats.org/wordprocessingml/2006/main" w:val="Normal"/>
    <w:next xmlns:w="http://schemas.openxmlformats.org/wordprocessingml/2006/main" w:val="Normal"/>
    <w:link xmlns:w="http://schemas.openxmlformats.org/wordprocessingml/2006/main" w:val="Heading3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2"/>
    </w:pPr>
    <w:rPr xmlns:w="http://schemas.openxmlformats.org/wordprocessingml/2006/main">
      <w:rFonts w:asciiTheme="majorHAnsi" w:hAnsiTheme="majorHAnsi" w:eastAsiaTheme="majorEastAsia"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mailto:info@armatorlerbirligi.org.tr" TargetMode="External" Id="rId11" /><Relationship Type="http://schemas.openxmlformats.org/officeDocument/2006/relationships/webSettings" Target="webSettings.xml" Id="rId4" /><Relationship Type="http://schemas.microsoft.com/office/2020/10/relationships/intelligence" Target="intelligence2.xml" Id="rId14" /><Relationship Type="http://schemas.openxmlformats.org/officeDocument/2006/relationships/hyperlink" Target="https://eur-lex.europa.eu/eli/reg/2015/757" TargetMode="External" Id="R3bec3b69193b475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Hüseyin Çınar</dc:creator>
  <keywords/>
  <dc:description/>
  <lastModifiedBy>Hüseyin Çınar</lastModifiedBy>
  <revision>4</revision>
  <dcterms:created xsi:type="dcterms:W3CDTF">2024-09-23T19:55:00.0000000Z</dcterms:created>
  <dcterms:modified xsi:type="dcterms:W3CDTF">2024-10-31T05:44:39.7168154Z</dcterms:modified>
</coreProperties>
</file>